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91dc9d47f75f429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179B4" w14:textId="77777777" w:rsidR="00B417A0" w:rsidRDefault="008B6C35">
      <w:pPr>
        <w:jc w:val="center"/>
      </w:pPr>
      <w:r>
        <w:t>178 FERC ¶ 61,109</w:t>
      </w:r>
    </w:p>
    <w:p w14:paraId="053A2AFD" w14:textId="77777777" w:rsidR="007A6C67" w:rsidRPr="00CD0B38" w:rsidRDefault="007A6C67" w:rsidP="009A2825">
      <w:pPr>
        <w:jc w:val="center"/>
      </w:pPr>
      <w:r w:rsidRPr="00CD0B38">
        <w:t>UNITED STATES OF AMERICA</w:t>
      </w:r>
    </w:p>
    <w:p w14:paraId="238FD8B8" w14:textId="77777777" w:rsidR="007A6C67" w:rsidRPr="00CD0B38" w:rsidRDefault="007A6C67" w:rsidP="009A2825">
      <w:pPr>
        <w:jc w:val="center"/>
      </w:pPr>
      <w:r w:rsidRPr="00CD0B38">
        <w:t>FEDERAL ENERGY REGULATORY COMMISSION</w:t>
      </w:r>
    </w:p>
    <w:p w14:paraId="6079D625" w14:textId="77777777" w:rsidR="007A6C67" w:rsidRPr="00CD0B38" w:rsidRDefault="007A6C67" w:rsidP="009A2825"/>
    <w:p w14:paraId="70C4720A" w14:textId="77777777" w:rsidR="009341C3" w:rsidRPr="009341C3" w:rsidRDefault="009341C3" w:rsidP="009341C3">
      <w:pPr>
        <w:widowControl/>
      </w:pPr>
      <w:r w:rsidRPr="009341C3">
        <w:t xml:space="preserve">Before Commissioners:  Richard Glick, </w:t>
      </w:r>
      <w:proofErr w:type="gramStart"/>
      <w:r w:rsidRPr="009341C3">
        <w:t>Chairman;</w:t>
      </w:r>
      <w:proofErr w:type="gramEnd"/>
    </w:p>
    <w:p w14:paraId="511F6898" w14:textId="77777777" w:rsidR="009341C3" w:rsidRPr="009341C3" w:rsidRDefault="009341C3" w:rsidP="009341C3">
      <w:pPr>
        <w:widowControl/>
      </w:pPr>
      <w:r w:rsidRPr="009341C3">
        <w:t xml:space="preserve">                                        James P. Danly, Allison Clements,</w:t>
      </w:r>
    </w:p>
    <w:p w14:paraId="3D193856" w14:textId="3CFC6A1B" w:rsidR="007A6C67" w:rsidRPr="00CD0B38" w:rsidRDefault="009341C3" w:rsidP="009341C3">
      <w:pPr>
        <w:widowControl/>
      </w:pPr>
      <w:r w:rsidRPr="009341C3">
        <w:t xml:space="preserve">                                        Mark C. Christie, and Willie L. Phillips.</w:t>
      </w:r>
      <w:r w:rsidR="007A6C67" w:rsidRPr="00CD0B38">
        <w:t xml:space="preserve"> </w:t>
      </w:r>
    </w:p>
    <w:p w14:paraId="0B930E7E" w14:textId="77777777" w:rsidR="007A6C67" w:rsidRPr="00CD0B38" w:rsidRDefault="007A6C67" w:rsidP="009A28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0"/>
        <w:gridCol w:w="1536"/>
        <w:gridCol w:w="1894"/>
      </w:tblGrid>
      <w:tr w:rsidR="007A6C67" w:rsidRPr="00CD0B38" w14:paraId="1EB9EF60" w14:textId="77777777" w:rsidTr="007A6C67">
        <w:tc>
          <w:tcPr>
            <w:tcW w:w="6088" w:type="dxa"/>
            <w:shd w:val="clear" w:color="auto" w:fill="auto"/>
          </w:tcPr>
          <w:p w14:paraId="239FA3AF" w14:textId="01721B1B" w:rsidR="007A6C67" w:rsidRPr="00CD0B38" w:rsidRDefault="007A6C67" w:rsidP="009A2825">
            <w:pPr>
              <w:widowControl/>
              <w:autoSpaceDE/>
              <w:autoSpaceDN/>
              <w:adjustRightInd/>
              <w:rPr>
                <w:rFonts w:eastAsiaTheme="minorHAnsi" w:cstheme="minorBidi"/>
                <w:szCs w:val="22"/>
              </w:rPr>
            </w:pPr>
            <w:r>
              <w:rPr>
                <w:rFonts w:eastAsiaTheme="minorHAnsi" w:cstheme="minorBidi"/>
                <w:szCs w:val="22"/>
              </w:rPr>
              <w:t>Spire STL Pipeline LLC</w:t>
            </w:r>
          </w:p>
        </w:tc>
        <w:tc>
          <w:tcPr>
            <w:tcW w:w="1560" w:type="dxa"/>
            <w:shd w:val="clear" w:color="auto" w:fill="auto"/>
          </w:tcPr>
          <w:p w14:paraId="3E5734FC" w14:textId="5CF9E495" w:rsidR="007A6C67" w:rsidRPr="00CD0B38" w:rsidRDefault="009341C3" w:rsidP="009A2825">
            <w:pPr>
              <w:widowControl/>
              <w:autoSpaceDE/>
              <w:autoSpaceDN/>
              <w:adjustRightInd/>
              <w:rPr>
                <w:rFonts w:eastAsiaTheme="minorHAnsi" w:cstheme="minorBidi"/>
                <w:szCs w:val="22"/>
              </w:rPr>
            </w:pPr>
            <w:r>
              <w:rPr>
                <w:rFonts w:eastAsiaTheme="minorHAnsi" w:cstheme="minorBidi"/>
                <w:szCs w:val="22"/>
              </w:rPr>
              <w:t xml:space="preserve">     </w:t>
            </w:r>
            <w:r w:rsidR="007A6C67">
              <w:rPr>
                <w:rFonts w:eastAsiaTheme="minorHAnsi" w:cstheme="minorBidi"/>
                <w:szCs w:val="22"/>
              </w:rPr>
              <w:t>Docket No.</w:t>
            </w:r>
          </w:p>
        </w:tc>
        <w:tc>
          <w:tcPr>
            <w:tcW w:w="1928" w:type="dxa"/>
            <w:shd w:val="clear" w:color="auto" w:fill="auto"/>
            <w:tcMar>
              <w:left w:w="144" w:type="dxa"/>
            </w:tcMar>
          </w:tcPr>
          <w:p w14:paraId="32987B2B" w14:textId="0024F6B2" w:rsidR="007A6C67" w:rsidRPr="00CD0B38" w:rsidRDefault="007A6C67" w:rsidP="009A2825">
            <w:pPr>
              <w:widowControl/>
              <w:autoSpaceDE/>
              <w:autoSpaceDN/>
              <w:adjustRightInd/>
              <w:rPr>
                <w:rFonts w:eastAsiaTheme="minorHAnsi" w:cstheme="minorBidi"/>
                <w:szCs w:val="22"/>
              </w:rPr>
            </w:pPr>
            <w:r>
              <w:rPr>
                <w:rFonts w:eastAsiaTheme="minorHAnsi" w:cstheme="minorBidi"/>
                <w:szCs w:val="22"/>
              </w:rPr>
              <w:t>CP17-40-</w:t>
            </w:r>
            <w:r w:rsidR="008F26B4">
              <w:rPr>
                <w:rFonts w:eastAsiaTheme="minorHAnsi" w:cstheme="minorBidi"/>
                <w:szCs w:val="22"/>
              </w:rPr>
              <w:t>012</w:t>
            </w:r>
          </w:p>
        </w:tc>
      </w:tr>
    </w:tbl>
    <w:p w14:paraId="5E20E5AE" w14:textId="77777777" w:rsidR="007A6C67" w:rsidRPr="00CD0B38" w:rsidRDefault="007A6C67" w:rsidP="009A2825">
      <w:pPr>
        <w:jc w:val="center"/>
      </w:pPr>
    </w:p>
    <w:p w14:paraId="2F1819B5" w14:textId="77777777" w:rsidR="007A6C67" w:rsidRPr="00CD0B38" w:rsidRDefault="007A6C67" w:rsidP="009A2825">
      <w:pPr>
        <w:jc w:val="center"/>
      </w:pPr>
    </w:p>
    <w:p w14:paraId="4A9EF1E5" w14:textId="261132EB" w:rsidR="007A6C67" w:rsidRPr="00CD0B38" w:rsidRDefault="007A6C67" w:rsidP="009A2825">
      <w:pPr>
        <w:jc w:val="center"/>
      </w:pPr>
      <w:r>
        <w:t xml:space="preserve">ORDER </w:t>
      </w:r>
      <w:r w:rsidR="00BB1EB3" w:rsidRPr="00BB1EB3">
        <w:t>ADDRESSING ARGUMENTS RAISED ON REHEARING</w:t>
      </w:r>
      <w:r w:rsidR="00EF3647">
        <w:t xml:space="preserve"> </w:t>
      </w:r>
      <w:r w:rsidR="007F1746">
        <w:t xml:space="preserve">AND </w:t>
      </w:r>
      <w:r w:rsidR="00BB1EB3">
        <w:t>DENYING</w:t>
      </w:r>
      <w:r w:rsidR="0053464F">
        <w:t xml:space="preserve"> STAY</w:t>
      </w:r>
    </w:p>
    <w:p w14:paraId="4EB2C06C" w14:textId="77777777" w:rsidR="007A6C67" w:rsidRPr="00CD0B38" w:rsidRDefault="007A6C67" w:rsidP="009A2825">
      <w:pPr>
        <w:jc w:val="center"/>
      </w:pPr>
    </w:p>
    <w:p w14:paraId="3A8CCE18" w14:textId="4724775A" w:rsidR="007A6C67" w:rsidRDefault="007A6C67" w:rsidP="009341C3">
      <w:pPr>
        <w:widowControl/>
        <w:jc w:val="center"/>
      </w:pPr>
      <w:r w:rsidRPr="009341C3">
        <w:t>(</w:t>
      </w:r>
      <w:r w:rsidRPr="009341C3">
        <w:fldChar w:fldCharType="begin"/>
      </w:r>
      <w:r w:rsidRPr="009341C3">
        <w:instrText xml:space="preserve"> MACROBUTTON  AcceptAllChangesInDoc </w:instrText>
      </w:r>
      <w:r w:rsidRPr="009341C3">
        <w:fldChar w:fldCharType="end"/>
      </w:r>
      <w:r w:rsidR="009341C3" w:rsidRPr="009341C3">
        <w:t>Issued February 1</w:t>
      </w:r>
      <w:r w:rsidR="008B6C35">
        <w:t>7</w:t>
      </w:r>
      <w:r w:rsidR="009341C3" w:rsidRPr="009341C3">
        <w:t>, 2022</w:t>
      </w:r>
      <w:r w:rsidRPr="009341C3">
        <w:t>)</w:t>
      </w:r>
    </w:p>
    <w:p w14:paraId="46CB46E9" w14:textId="77777777" w:rsidR="007A6C67" w:rsidRPr="00C26B1C" w:rsidRDefault="007A6C67" w:rsidP="009A2825">
      <w:pPr>
        <w:rPr>
          <w:bCs/>
        </w:rPr>
      </w:pPr>
    </w:p>
    <w:p w14:paraId="557F7684" w14:textId="6559A9A3" w:rsidR="002D24A3" w:rsidRDefault="002D24A3" w:rsidP="00251AAC">
      <w:pPr>
        <w:pStyle w:val="FERCparanumber"/>
      </w:pPr>
      <w:r w:rsidRPr="00CD5BE3" w:rsidDel="002D24A3">
        <w:t>On Decemb</w:t>
      </w:r>
      <w:r w:rsidRPr="0079271A" w:rsidDel="002D24A3">
        <w:t xml:space="preserve">er 3, 2021, the Commission issued a temporary certificate of public convenience and necessity </w:t>
      </w:r>
      <w:r w:rsidR="00E8227B">
        <w:t xml:space="preserve">under </w:t>
      </w:r>
      <w:r w:rsidR="00E8227B" w:rsidRPr="00AA6F71">
        <w:t>section 7(c)(1)(B) of the Natural Gas Act (NGA)</w:t>
      </w:r>
      <w:r w:rsidR="00E8227B">
        <w:t>,</w:t>
      </w:r>
      <w:r w:rsidR="00E8227B" w:rsidRPr="00AA6F71">
        <w:rPr>
          <w:b/>
          <w:vertAlign w:val="superscript"/>
        </w:rPr>
        <w:footnoteReference w:id="2"/>
      </w:r>
      <w:r w:rsidR="00E8227B" w:rsidRPr="00AA6F71">
        <w:t xml:space="preserve"> </w:t>
      </w:r>
      <w:r w:rsidR="00E8227B">
        <w:t xml:space="preserve">which </w:t>
      </w:r>
      <w:r w:rsidRPr="005B1F9A">
        <w:t>author</w:t>
      </w:r>
      <w:r w:rsidR="00E8227B">
        <w:t>ized</w:t>
      </w:r>
      <w:r w:rsidRPr="005B1F9A">
        <w:t xml:space="preserve"> Spire STL Pipeline LLC (Spire) to con</w:t>
      </w:r>
      <w:r>
        <w:t xml:space="preserve">tinue operating the </w:t>
      </w:r>
      <w:r w:rsidR="00574E95">
        <w:t xml:space="preserve">              </w:t>
      </w:r>
      <w:r w:rsidRPr="005B1F9A">
        <w:t>Spire STL Pipeline</w:t>
      </w:r>
      <w:r w:rsidRPr="0079271A" w:rsidDel="002D24A3">
        <w:t>.</w:t>
      </w:r>
      <w:r w:rsidRPr="0079271A" w:rsidDel="002D24A3">
        <w:rPr>
          <w:rStyle w:val="FootnoteReference"/>
        </w:rPr>
        <w:footnoteReference w:id="3"/>
      </w:r>
      <w:r w:rsidDel="002D24A3">
        <w:t xml:space="preserve">  </w:t>
      </w:r>
    </w:p>
    <w:p w14:paraId="5E6EDD7A" w14:textId="243108CA" w:rsidR="002D24A3" w:rsidRPr="00CD5BE3" w:rsidDel="002D24A3" w:rsidRDefault="002D24A3" w:rsidP="00251AAC">
      <w:pPr>
        <w:pStyle w:val="FERCparanumber"/>
      </w:pPr>
      <w:r w:rsidDel="002D24A3">
        <w:t>On December 17, 2021, Scott Turman; ST Turman Contracting, LLC;</w:t>
      </w:r>
      <w:r w:rsidR="009341C3">
        <w:t xml:space="preserve">           </w:t>
      </w:r>
      <w:r w:rsidDel="002D24A3">
        <w:t xml:space="preserve"> Jacob </w:t>
      </w:r>
      <w:proofErr w:type="spellStart"/>
      <w:r w:rsidDel="002D24A3">
        <w:t>Gettings</w:t>
      </w:r>
      <w:proofErr w:type="spellEnd"/>
      <w:r w:rsidDel="002D24A3">
        <w:t xml:space="preserve">; Kenny Davis; 4850 Longhorn; Sinclair Farm LLC; and the </w:t>
      </w:r>
      <w:r w:rsidR="009341C3">
        <w:t xml:space="preserve">        </w:t>
      </w:r>
      <w:proofErr w:type="spellStart"/>
      <w:r w:rsidDel="002D24A3">
        <w:t>Niskanen</w:t>
      </w:r>
      <w:proofErr w:type="spellEnd"/>
      <w:r w:rsidDel="002D24A3">
        <w:t xml:space="preserve"> Center (together, </w:t>
      </w:r>
      <w:proofErr w:type="spellStart"/>
      <w:r w:rsidDel="002D24A3">
        <w:t>Niskanen</w:t>
      </w:r>
      <w:proofErr w:type="spellEnd"/>
      <w:r w:rsidDel="002D24A3">
        <w:t xml:space="preserve"> Center)</w:t>
      </w:r>
      <w:r>
        <w:t xml:space="preserve"> </w:t>
      </w:r>
      <w:r w:rsidR="00765560">
        <w:t xml:space="preserve">jointly </w:t>
      </w:r>
      <w:r>
        <w:t>filed a timely request for rehearing of the Temporary Certificate Order</w:t>
      </w:r>
      <w:r w:rsidDel="002D24A3">
        <w:t>.</w:t>
      </w:r>
      <w:r w:rsidDel="002D24A3">
        <w:rPr>
          <w:rStyle w:val="FootnoteReference"/>
        </w:rPr>
        <w:footnoteReference w:id="4"/>
      </w:r>
      <w:r w:rsidDel="002D24A3">
        <w:t xml:space="preserve">  </w:t>
      </w:r>
      <w:r w:rsidR="0030433E">
        <w:t>O</w:t>
      </w:r>
      <w:r w:rsidDel="002D24A3">
        <w:t>n January 3, 2022, Environmental Defense Fund (EDF)</w:t>
      </w:r>
      <w:r>
        <w:t xml:space="preserve"> filed a </w:t>
      </w:r>
      <w:r w:rsidR="0030433E">
        <w:t xml:space="preserve">timely </w:t>
      </w:r>
      <w:r>
        <w:t>request for rehearing</w:t>
      </w:r>
      <w:r w:rsidDel="002D24A3">
        <w:t>.</w:t>
      </w:r>
      <w:r w:rsidDel="002D24A3">
        <w:rPr>
          <w:rStyle w:val="FootnoteReference"/>
        </w:rPr>
        <w:footnoteReference w:id="5"/>
      </w:r>
    </w:p>
    <w:p w14:paraId="5E3376C6" w14:textId="72E541D2" w:rsidR="002D24A3" w:rsidRDefault="002D24A3" w:rsidP="002D24A3">
      <w:pPr>
        <w:pStyle w:val="FERCparanumber"/>
      </w:pPr>
      <w:r w:rsidRPr="00BB1EB3" w:rsidDel="002D24A3">
        <w:t xml:space="preserve">Pursuant to </w:t>
      </w:r>
      <w:r w:rsidRPr="00BB1EB3" w:rsidDel="002D24A3">
        <w:rPr>
          <w:i/>
          <w:iCs/>
        </w:rPr>
        <w:t>Allegheny Defense Project v. FERC</w:t>
      </w:r>
      <w:r w:rsidRPr="00BB1EB3" w:rsidDel="002D24A3">
        <w:t>,</w:t>
      </w:r>
      <w:r w:rsidRPr="00BB1EB3" w:rsidDel="002D24A3">
        <w:rPr>
          <w:b/>
          <w:vertAlign w:val="superscript"/>
        </w:rPr>
        <w:footnoteReference w:id="6"/>
      </w:r>
      <w:r w:rsidRPr="00BB1EB3" w:rsidDel="002D24A3">
        <w:t xml:space="preserve"> the rehearing requests filed in this proceeding may be deemed denied by operation of law.  However, as permitted by </w:t>
      </w:r>
      <w:r w:rsidRPr="00BB1EB3" w:rsidDel="002D24A3">
        <w:lastRenderedPageBreak/>
        <w:t xml:space="preserve">section 19(a) of the </w:t>
      </w:r>
      <w:r w:rsidDel="002D24A3">
        <w:t>NGA</w:t>
      </w:r>
      <w:r w:rsidRPr="00BB1EB3" w:rsidDel="002D24A3">
        <w:t>,</w:t>
      </w:r>
      <w:r w:rsidRPr="00BB1EB3" w:rsidDel="002D24A3">
        <w:rPr>
          <w:b/>
          <w:bCs/>
          <w:vertAlign w:val="superscript"/>
        </w:rPr>
        <w:footnoteReference w:id="7"/>
      </w:r>
      <w:r w:rsidRPr="00BB1EB3" w:rsidDel="002D24A3">
        <w:t xml:space="preserve"> we are modifying the discussion in the </w:t>
      </w:r>
      <w:r w:rsidR="00E8227B">
        <w:t>Temporary Certificate</w:t>
      </w:r>
      <w:r w:rsidRPr="00BB1EB3" w:rsidDel="002D24A3">
        <w:t xml:space="preserve"> Order</w:t>
      </w:r>
      <w:r w:rsidDel="002D24A3">
        <w:t xml:space="preserve"> </w:t>
      </w:r>
      <w:r w:rsidRPr="00BB1EB3" w:rsidDel="002D24A3">
        <w:t>and continu</w:t>
      </w:r>
      <w:r w:rsidDel="002D24A3">
        <w:t>e</w:t>
      </w:r>
      <w:r w:rsidRPr="00BB1EB3" w:rsidDel="002D24A3">
        <w:t xml:space="preserve"> to reach the same result in this proceeding, as discussed below.</w:t>
      </w:r>
      <w:r w:rsidRPr="00BB1EB3" w:rsidDel="002D24A3">
        <w:rPr>
          <w:b/>
          <w:vertAlign w:val="superscript"/>
        </w:rPr>
        <w:footnoteReference w:id="8"/>
      </w:r>
    </w:p>
    <w:p w14:paraId="5803238F" w14:textId="6BCF1C51" w:rsidR="00E8227B" w:rsidRDefault="00E8227B" w:rsidP="00E87D73">
      <w:pPr>
        <w:pStyle w:val="Heading1"/>
      </w:pPr>
      <w:r>
        <w:t>Background</w:t>
      </w:r>
    </w:p>
    <w:p w14:paraId="14B6552F" w14:textId="6DA98BF2" w:rsidR="00C83995" w:rsidRDefault="005B1F9A" w:rsidP="00854A1E">
      <w:pPr>
        <w:pStyle w:val="FERCparanumber"/>
      </w:pPr>
      <w:r>
        <w:t>On June 22, 2021, t</w:t>
      </w:r>
      <w:r w:rsidRPr="005B1F9A">
        <w:t>he United States Court of Appeals for the District of Columbia Circuit issued a</w:t>
      </w:r>
      <w:r>
        <w:t xml:space="preserve"> decision</w:t>
      </w:r>
      <w:r w:rsidRPr="005B1F9A">
        <w:t xml:space="preserve"> vacating and remanding the Commission’s orders authoriz</w:t>
      </w:r>
      <w:r>
        <w:t>ing</w:t>
      </w:r>
      <w:r w:rsidRPr="005B1F9A">
        <w:t xml:space="preserve"> Spire to construct and operate</w:t>
      </w:r>
      <w:r w:rsidR="00605729">
        <w:rPr>
          <w:rStyle w:val="FootnoteReference"/>
        </w:rPr>
        <w:footnoteReference w:id="9"/>
      </w:r>
      <w:r w:rsidRPr="005B1F9A">
        <w:t xml:space="preserve"> </w:t>
      </w:r>
      <w:r w:rsidR="001063F5">
        <w:t xml:space="preserve">the 65-mile-long </w:t>
      </w:r>
      <w:r w:rsidRPr="005B1F9A">
        <w:t>Spire STL Pipeline</w:t>
      </w:r>
      <w:r w:rsidR="0030433E">
        <w:t>, running</w:t>
      </w:r>
      <w:r w:rsidR="001063F5">
        <w:t xml:space="preserve"> </w:t>
      </w:r>
      <w:r w:rsidR="00C83995">
        <w:t xml:space="preserve">from </w:t>
      </w:r>
      <w:r w:rsidR="00574E95">
        <w:t xml:space="preserve">    </w:t>
      </w:r>
      <w:r w:rsidR="00C83995">
        <w:t>Scott County, Illinois, to St. Louis County,</w:t>
      </w:r>
      <w:r w:rsidR="00854A1E">
        <w:t xml:space="preserve"> Missouri</w:t>
      </w:r>
      <w:r>
        <w:t>.</w:t>
      </w:r>
      <w:r w:rsidRPr="005B1F9A">
        <w:rPr>
          <w:b/>
          <w:vertAlign w:val="superscript"/>
        </w:rPr>
        <w:footnoteReference w:id="10"/>
      </w:r>
      <w:r w:rsidR="001063F5">
        <w:t xml:space="preserve">  </w:t>
      </w:r>
    </w:p>
    <w:p w14:paraId="7D20F804" w14:textId="34E7C1C4" w:rsidR="00854A1E" w:rsidRDefault="007F1746" w:rsidP="00854A1E">
      <w:pPr>
        <w:pStyle w:val="FERCparanumber"/>
      </w:pPr>
      <w:r w:rsidRPr="007F1746">
        <w:t xml:space="preserve">On July 26, 2021, </w:t>
      </w:r>
      <w:r w:rsidR="00C83995">
        <w:t xml:space="preserve">before the court issued its mandate, </w:t>
      </w:r>
      <w:r w:rsidRPr="007F1746">
        <w:t>Spire filed an application for a temporary certificate</w:t>
      </w:r>
      <w:r w:rsidR="00AA6F71">
        <w:t xml:space="preserve"> </w:t>
      </w:r>
      <w:r w:rsidR="00AA6F71" w:rsidRPr="00AA6F71">
        <w:t>of public convenience and necessity</w:t>
      </w:r>
      <w:r w:rsidR="00E8227B" w:rsidRPr="00E8227B">
        <w:t xml:space="preserve"> </w:t>
      </w:r>
      <w:r w:rsidR="00E8227B">
        <w:t xml:space="preserve">under NGA </w:t>
      </w:r>
      <w:r w:rsidR="00E8227B" w:rsidRPr="00AA6F71">
        <w:t>section</w:t>
      </w:r>
      <w:r w:rsidR="0030433E">
        <w:t> </w:t>
      </w:r>
      <w:r w:rsidR="00E8227B" w:rsidRPr="00AA6F71">
        <w:t>7(c)(1)(B)</w:t>
      </w:r>
      <w:r w:rsidR="00E8227B">
        <w:t>.</w:t>
      </w:r>
      <w:r w:rsidR="00E8227B" w:rsidRPr="00AA6F71">
        <w:rPr>
          <w:b/>
          <w:vertAlign w:val="superscript"/>
        </w:rPr>
        <w:footnoteReference w:id="11"/>
      </w:r>
      <w:r w:rsidR="00C83995">
        <w:t xml:space="preserve">  Spire</w:t>
      </w:r>
      <w:r w:rsidRPr="007F1746">
        <w:t xml:space="preserve"> </w:t>
      </w:r>
      <w:r w:rsidR="00E8227B">
        <w:t>explained</w:t>
      </w:r>
      <w:r w:rsidRPr="007F1746">
        <w:t xml:space="preserve"> that if the Spire STL Pipeline is removed from service</w:t>
      </w:r>
      <w:r w:rsidR="0020169A">
        <w:t>,</w:t>
      </w:r>
      <w:r w:rsidR="00854A1E">
        <w:t xml:space="preserve"> </w:t>
      </w:r>
      <w:r w:rsidRPr="007F1746">
        <w:t>Spire Missouri</w:t>
      </w:r>
      <w:r w:rsidR="00854A1E">
        <w:t xml:space="preserve"> Inc.</w:t>
      </w:r>
      <w:r w:rsidR="00D338BD">
        <w:t xml:space="preserve"> (Spire Missouri)</w:t>
      </w:r>
      <w:r w:rsidR="007F600B">
        <w:t>, a local distribution company</w:t>
      </w:r>
      <w:r w:rsidR="006B5402">
        <w:t xml:space="preserve"> and shipper on the pipeline</w:t>
      </w:r>
      <w:r w:rsidR="007F600B">
        <w:t>,</w:t>
      </w:r>
      <w:r w:rsidR="00FC521B">
        <w:t xml:space="preserve"> </w:t>
      </w:r>
      <w:r w:rsidRPr="007F1746">
        <w:t xml:space="preserve">will be unable to obtain adequate </w:t>
      </w:r>
      <w:r w:rsidR="0030433E">
        <w:t>supplies</w:t>
      </w:r>
      <w:r w:rsidRPr="007F1746">
        <w:t xml:space="preserve"> to satisfy peak demand </w:t>
      </w:r>
      <w:r w:rsidR="009A2825" w:rsidRPr="007F1746">
        <w:t xml:space="preserve">in the </w:t>
      </w:r>
      <w:r w:rsidR="009341C3">
        <w:t xml:space="preserve">     </w:t>
      </w:r>
      <w:r w:rsidR="009A2825" w:rsidRPr="007F1746">
        <w:t>St. Louis regi</w:t>
      </w:r>
      <w:r w:rsidR="009A2825">
        <w:t>on</w:t>
      </w:r>
      <w:r w:rsidR="009A2825" w:rsidRPr="007F1746">
        <w:t xml:space="preserve"> </w:t>
      </w:r>
      <w:r w:rsidRPr="007F1746">
        <w:t xml:space="preserve">during the 2021-2022 winter heating season. </w:t>
      </w:r>
      <w:r>
        <w:t xml:space="preserve"> </w:t>
      </w:r>
    </w:p>
    <w:p w14:paraId="4238CF0E" w14:textId="39E66EE1" w:rsidR="009455D7" w:rsidRPr="00C52046" w:rsidRDefault="00843FF5" w:rsidP="009717DF">
      <w:pPr>
        <w:pStyle w:val="FERCparanumber"/>
      </w:pPr>
      <w:r>
        <w:t>On September 14, 2021, t</w:t>
      </w:r>
      <w:r w:rsidR="00DF716A">
        <w:t>o</w:t>
      </w:r>
      <w:r w:rsidR="007B00D5" w:rsidRPr="007B00D5">
        <w:t xml:space="preserve"> ensure continuity of service for a limited period while the Commission consider</w:t>
      </w:r>
      <w:r w:rsidR="00E8227B">
        <w:t>ed</w:t>
      </w:r>
      <w:r w:rsidR="007B00D5" w:rsidRPr="007B00D5">
        <w:t xml:space="preserve"> appropriate next steps</w:t>
      </w:r>
      <w:r w:rsidR="007F1746">
        <w:t xml:space="preserve">, the Commission acted </w:t>
      </w:r>
      <w:proofErr w:type="spellStart"/>
      <w:r w:rsidR="007F1746" w:rsidRPr="00FB33FE">
        <w:rPr>
          <w:i/>
          <w:iCs/>
        </w:rPr>
        <w:t>sua</w:t>
      </w:r>
      <w:proofErr w:type="spellEnd"/>
      <w:r w:rsidR="007F1746" w:rsidRPr="00FB33FE">
        <w:rPr>
          <w:i/>
          <w:iCs/>
        </w:rPr>
        <w:t xml:space="preserve"> sponte</w:t>
      </w:r>
      <w:r w:rsidR="007F1746">
        <w:t xml:space="preserve"> </w:t>
      </w:r>
      <w:bookmarkStart w:id="0" w:name="_Hlk85461545"/>
      <w:r w:rsidR="00854A1E">
        <w:t xml:space="preserve">to </w:t>
      </w:r>
      <w:r w:rsidR="00BA2613">
        <w:lastRenderedPageBreak/>
        <w:t>issue</w:t>
      </w:r>
      <w:r w:rsidR="00BA2613" w:rsidRPr="005B1F9A">
        <w:t xml:space="preserve"> </w:t>
      </w:r>
      <w:r w:rsidR="00E8227B" w:rsidRPr="005B1F9A">
        <w:t xml:space="preserve">Spire </w:t>
      </w:r>
      <w:r w:rsidR="00FC521B" w:rsidRPr="005B1F9A">
        <w:t xml:space="preserve">a temporary certificate </w:t>
      </w:r>
      <w:r w:rsidR="00FC521B">
        <w:t xml:space="preserve">to </w:t>
      </w:r>
      <w:r w:rsidR="00DF1BC7">
        <w:t>under NGA section 7(c)(1)(B)</w:t>
      </w:r>
      <w:r w:rsidR="00D35AE5">
        <w:rPr>
          <w:rStyle w:val="FootnoteReference"/>
        </w:rPr>
        <w:footnoteReference w:id="12"/>
      </w:r>
      <w:r w:rsidR="00DF1BC7">
        <w:t xml:space="preserve"> </w:t>
      </w:r>
      <w:r w:rsidR="00E8227B">
        <w:t>allow</w:t>
      </w:r>
      <w:r w:rsidR="0030433E">
        <w:t>ing</w:t>
      </w:r>
      <w:r w:rsidR="00E8227B">
        <w:t xml:space="preserve"> Spire</w:t>
      </w:r>
      <w:r w:rsidR="0030433E">
        <w:t xml:space="preserve"> to</w:t>
      </w:r>
      <w:r w:rsidR="00E8227B">
        <w:t xml:space="preserve"> </w:t>
      </w:r>
      <w:r w:rsidR="00BA2613">
        <w:t xml:space="preserve">continue </w:t>
      </w:r>
      <w:r w:rsidR="00E8227B">
        <w:t>operation of</w:t>
      </w:r>
      <w:r w:rsidR="00BA2613" w:rsidRPr="005B1F9A">
        <w:t xml:space="preserve"> the Spire STL Pipeline</w:t>
      </w:r>
      <w:r w:rsidR="005B1F9A" w:rsidRPr="005B1F9A">
        <w:t xml:space="preserve"> for </w:t>
      </w:r>
      <w:r w:rsidR="007F1746">
        <w:t>90 days</w:t>
      </w:r>
      <w:r w:rsidR="005B1F9A" w:rsidRPr="005B1F9A">
        <w:t>.</w:t>
      </w:r>
      <w:bookmarkEnd w:id="0"/>
      <w:r w:rsidR="001D7DF4">
        <w:rPr>
          <w:rStyle w:val="FootnoteReference"/>
        </w:rPr>
        <w:footnoteReference w:id="13"/>
      </w:r>
      <w:r w:rsidR="00C83995">
        <w:t xml:space="preserve"> </w:t>
      </w:r>
      <w:r w:rsidR="007F04CB">
        <w:t xml:space="preserve"> </w:t>
      </w:r>
    </w:p>
    <w:p w14:paraId="055B2A40" w14:textId="709BA911" w:rsidR="009455D7" w:rsidDel="002D24A3" w:rsidRDefault="00584B9C" w:rsidP="00584B9C">
      <w:pPr>
        <w:pStyle w:val="FERCparanumber"/>
      </w:pPr>
      <w:r w:rsidRPr="00CD5BE3" w:rsidDel="002D24A3">
        <w:t>On Decemb</w:t>
      </w:r>
      <w:r w:rsidRPr="0079271A" w:rsidDel="002D24A3">
        <w:t xml:space="preserve">er 3, 2021, acting on Spire’s July 2021 application, </w:t>
      </w:r>
      <w:r w:rsidR="00CD5BE3" w:rsidRPr="0079271A" w:rsidDel="002D24A3">
        <w:t xml:space="preserve">the Commission </w:t>
      </w:r>
      <w:r w:rsidRPr="0079271A" w:rsidDel="002D24A3">
        <w:t xml:space="preserve">issued </w:t>
      </w:r>
      <w:r w:rsidR="003162AA">
        <w:t xml:space="preserve">Spire </w:t>
      </w:r>
      <w:r w:rsidR="0030433E">
        <w:t xml:space="preserve">a </w:t>
      </w:r>
      <w:r w:rsidRPr="0079271A" w:rsidDel="002D24A3">
        <w:t>temporary certificate of public convenience and necessity</w:t>
      </w:r>
      <w:r w:rsidR="00CD5BE3" w:rsidRPr="0079271A" w:rsidDel="002D24A3">
        <w:t>.</w:t>
      </w:r>
      <w:r w:rsidR="00CD5BE3" w:rsidRPr="0079271A" w:rsidDel="002D24A3">
        <w:rPr>
          <w:rStyle w:val="FootnoteReference"/>
        </w:rPr>
        <w:footnoteReference w:id="14"/>
      </w:r>
      <w:r w:rsidR="007F04CB" w:rsidDel="002D24A3">
        <w:t xml:space="preserve"> </w:t>
      </w:r>
      <w:r w:rsidR="003A1ED4" w:rsidDel="002D24A3">
        <w:t xml:space="preserve"> </w:t>
      </w:r>
      <w:r w:rsidR="0079271A" w:rsidDel="002D24A3">
        <w:t>The temporary certificate did not authorize the construction of any new facilities and will</w:t>
      </w:r>
      <w:r w:rsidR="009717DF" w:rsidDel="002D24A3">
        <w:t xml:space="preserve"> </w:t>
      </w:r>
      <w:r w:rsidR="0079271A" w:rsidDel="002D24A3">
        <w:t>remain effective until the Commission acts on remand on Spire’s pending certificate application.</w:t>
      </w:r>
      <w:r w:rsidR="0079271A" w:rsidDel="002D24A3">
        <w:rPr>
          <w:rStyle w:val="FootnoteReference"/>
        </w:rPr>
        <w:footnoteReference w:id="15"/>
      </w:r>
      <w:r w:rsidR="00DA3AE8" w:rsidDel="002D24A3">
        <w:t xml:space="preserve"> </w:t>
      </w:r>
    </w:p>
    <w:p w14:paraId="5D447B96" w14:textId="68AB3967" w:rsidR="0053464F" w:rsidRPr="0013453F" w:rsidRDefault="00477EA4" w:rsidP="0053464F">
      <w:pPr>
        <w:pStyle w:val="Heading1"/>
      </w:pPr>
      <w:r>
        <w:t xml:space="preserve">Discussion </w:t>
      </w:r>
    </w:p>
    <w:p w14:paraId="4FC838DB" w14:textId="5F3FCF4E" w:rsidR="00C83995" w:rsidRPr="00D61126" w:rsidRDefault="00C76B76" w:rsidP="00FF0632">
      <w:pPr>
        <w:pStyle w:val="Heading2"/>
      </w:pPr>
      <w:r w:rsidRPr="00D61126">
        <w:t>Eminent Domain Authority</w:t>
      </w:r>
    </w:p>
    <w:p w14:paraId="7DA798C9" w14:textId="3EA14885" w:rsidR="00EC13A1" w:rsidRPr="004A5068" w:rsidRDefault="00F041D8" w:rsidP="007127A9">
      <w:pPr>
        <w:pStyle w:val="FERCparanumber"/>
      </w:pPr>
      <w:r w:rsidRPr="00D61126">
        <w:t>T</w:t>
      </w:r>
      <w:r w:rsidR="000D5E2A" w:rsidRPr="00D61126">
        <w:t xml:space="preserve">he </w:t>
      </w:r>
      <w:proofErr w:type="spellStart"/>
      <w:r w:rsidR="000D5E2A" w:rsidRPr="00D61126">
        <w:t>Niskanen</w:t>
      </w:r>
      <w:proofErr w:type="spellEnd"/>
      <w:r w:rsidR="000D5E2A" w:rsidRPr="00D61126">
        <w:t xml:space="preserve"> </w:t>
      </w:r>
      <w:r w:rsidR="0099497D" w:rsidRPr="00D61126">
        <w:t>C</w:t>
      </w:r>
      <w:r w:rsidR="000D5E2A" w:rsidRPr="00D61126">
        <w:t>enter</w:t>
      </w:r>
      <w:r w:rsidR="00DF74F4" w:rsidRPr="00D61126">
        <w:t xml:space="preserve"> </w:t>
      </w:r>
      <w:r w:rsidR="000D5E2A" w:rsidRPr="00D61126">
        <w:t>argue</w:t>
      </w:r>
      <w:r w:rsidR="0013453F" w:rsidRPr="00D61126">
        <w:t>s</w:t>
      </w:r>
      <w:r w:rsidR="000D5E2A" w:rsidRPr="00D61126">
        <w:t xml:space="preserve"> that the Commission erred by failing to prohibit </w:t>
      </w:r>
      <w:r w:rsidR="00DC01C7" w:rsidRPr="00D61126">
        <w:t>Spire from</w:t>
      </w:r>
      <w:r w:rsidR="000D5E2A" w:rsidRPr="00D61126">
        <w:t xml:space="preserve"> exercis</w:t>
      </w:r>
      <w:r w:rsidR="00DC01C7" w:rsidRPr="00D61126">
        <w:t>ing</w:t>
      </w:r>
      <w:r w:rsidR="000D5E2A" w:rsidRPr="00D61126">
        <w:t xml:space="preserve"> eminent domain </w:t>
      </w:r>
      <w:r w:rsidR="008A1138">
        <w:t xml:space="preserve">authority </w:t>
      </w:r>
      <w:r w:rsidR="000D5E2A" w:rsidRPr="00D61126">
        <w:t>under the temporary certificate.</w:t>
      </w:r>
      <w:r w:rsidR="0099497D" w:rsidRPr="00D61126">
        <w:rPr>
          <w:rStyle w:val="FootnoteReference"/>
        </w:rPr>
        <w:footnoteReference w:id="16"/>
      </w:r>
      <w:r w:rsidR="00851199" w:rsidRPr="00D61126">
        <w:t xml:space="preserve">  </w:t>
      </w:r>
      <w:r w:rsidR="00DF6C8C" w:rsidRPr="00D61126">
        <w:t xml:space="preserve">The </w:t>
      </w:r>
      <w:proofErr w:type="spellStart"/>
      <w:r w:rsidR="00A37557">
        <w:t>Niskanen</w:t>
      </w:r>
      <w:proofErr w:type="spellEnd"/>
      <w:r w:rsidR="00A37557">
        <w:t xml:space="preserve"> Center notes that NGA section 7(h)</w:t>
      </w:r>
      <w:r w:rsidR="00A37557">
        <w:rPr>
          <w:rStyle w:val="FootnoteReference"/>
        </w:rPr>
        <w:footnoteReference w:id="17"/>
      </w:r>
      <w:r w:rsidR="00A37557">
        <w:t xml:space="preserve"> conveys the power of eminent domain to</w:t>
      </w:r>
      <w:r w:rsidR="0030433E">
        <w:t> </w:t>
      </w:r>
      <w:r w:rsidR="00DC4834" w:rsidRPr="00D61126">
        <w:t xml:space="preserve">the holder </w:t>
      </w:r>
      <w:r w:rsidR="00774639" w:rsidRPr="00D61126">
        <w:t xml:space="preserve">of </w:t>
      </w:r>
      <w:r w:rsidR="00DC4834" w:rsidRPr="00D61126">
        <w:t>“</w:t>
      </w:r>
      <w:r w:rsidR="00774639" w:rsidRPr="00D61126">
        <w:t>a certificate of public convenience and necessity</w:t>
      </w:r>
      <w:r w:rsidR="00A37557">
        <w:t>,</w:t>
      </w:r>
      <w:r w:rsidR="00507AC2" w:rsidRPr="00D61126">
        <w:t>”</w:t>
      </w:r>
      <w:r w:rsidR="000639A6" w:rsidRPr="00D61126">
        <w:rPr>
          <w:rStyle w:val="FootnoteReference"/>
        </w:rPr>
        <w:footnoteReference w:id="18"/>
      </w:r>
      <w:r w:rsidR="00507AC2" w:rsidRPr="00D61126">
        <w:t xml:space="preserve"> </w:t>
      </w:r>
      <w:r w:rsidR="0030433E">
        <w:t>but</w:t>
      </w:r>
      <w:r w:rsidR="00DF6C8C" w:rsidRPr="00D61126">
        <w:t xml:space="preserve"> argue</w:t>
      </w:r>
      <w:r w:rsidR="005553C9">
        <w:t>s</w:t>
      </w:r>
      <w:r w:rsidR="00DF6C8C" w:rsidRPr="00D61126">
        <w:t xml:space="preserve"> that</w:t>
      </w:r>
      <w:r w:rsidR="00507AC2" w:rsidRPr="00D61126">
        <w:t xml:space="preserve"> </w:t>
      </w:r>
      <w:r w:rsidR="00DF6C8C" w:rsidRPr="00D61126">
        <w:t xml:space="preserve">section 7(h) </w:t>
      </w:r>
      <w:r w:rsidR="00507AC2" w:rsidRPr="00D61126">
        <w:t xml:space="preserve">refers only to a certificate </w:t>
      </w:r>
      <w:r w:rsidR="0099497D" w:rsidRPr="00D61126">
        <w:t xml:space="preserve">issued under </w:t>
      </w:r>
      <w:r w:rsidR="008A1138">
        <w:t xml:space="preserve">NGA </w:t>
      </w:r>
      <w:r w:rsidR="0099497D" w:rsidRPr="00D61126">
        <w:t>section</w:t>
      </w:r>
      <w:r w:rsidR="00350C67">
        <w:t> </w:t>
      </w:r>
      <w:r w:rsidR="0099497D" w:rsidRPr="00D61126">
        <w:t xml:space="preserve">7(e), </w:t>
      </w:r>
      <w:r w:rsidR="007C24CC" w:rsidRPr="00D61126">
        <w:t xml:space="preserve">and </w:t>
      </w:r>
      <w:r w:rsidR="00605729">
        <w:t>therefore</w:t>
      </w:r>
      <w:r w:rsidR="00605729" w:rsidRPr="00D61126">
        <w:t xml:space="preserve"> </w:t>
      </w:r>
      <w:r w:rsidR="007C24CC" w:rsidRPr="00D61126">
        <w:t>the</w:t>
      </w:r>
      <w:r w:rsidR="00774639" w:rsidRPr="00D61126">
        <w:t xml:space="preserve"> NGA does not </w:t>
      </w:r>
      <w:r w:rsidR="00012953">
        <w:t>confer</w:t>
      </w:r>
      <w:r w:rsidR="00774639" w:rsidRPr="00D61126">
        <w:t xml:space="preserve"> eminent domain to the holder of a temporary certificate</w:t>
      </w:r>
      <w:r w:rsidR="0099497D" w:rsidRPr="00D61126">
        <w:t xml:space="preserve"> issued under section 7(c)(1)(B)</w:t>
      </w:r>
      <w:r w:rsidR="00DC4834" w:rsidRPr="00D61126">
        <w:t>.</w:t>
      </w:r>
      <w:r w:rsidR="00E16E56" w:rsidRPr="00D61126">
        <w:rPr>
          <w:rStyle w:val="FootnoteReference"/>
        </w:rPr>
        <w:footnoteReference w:id="19"/>
      </w:r>
      <w:r w:rsidR="00774639" w:rsidRPr="00D61126">
        <w:t xml:space="preserve"> </w:t>
      </w:r>
      <w:r w:rsidR="00303983" w:rsidRPr="00D61126">
        <w:t xml:space="preserve"> </w:t>
      </w:r>
      <w:r w:rsidRPr="00D61126">
        <w:t>T</w:t>
      </w:r>
      <w:r w:rsidR="0099497D" w:rsidRPr="00D61126">
        <w:t>he</w:t>
      </w:r>
      <w:r w:rsidR="00DC4834" w:rsidRPr="00D61126">
        <w:t xml:space="preserve"> </w:t>
      </w:r>
      <w:proofErr w:type="spellStart"/>
      <w:r w:rsidR="0099497D" w:rsidRPr="00D61126">
        <w:t>Niskanen</w:t>
      </w:r>
      <w:proofErr w:type="spellEnd"/>
      <w:r w:rsidR="0099497D" w:rsidRPr="00D61126">
        <w:t xml:space="preserve"> Center </w:t>
      </w:r>
      <w:r w:rsidR="00DC4834" w:rsidRPr="00D61126">
        <w:t>further contend</w:t>
      </w:r>
      <w:r w:rsidR="00EC13A1" w:rsidRPr="00D61126">
        <w:t>s</w:t>
      </w:r>
      <w:r w:rsidR="00DC4834" w:rsidRPr="00D61126">
        <w:t xml:space="preserve"> that</w:t>
      </w:r>
      <w:r w:rsidR="0030433E">
        <w:t>,</w:t>
      </w:r>
      <w:r w:rsidR="00DC4834" w:rsidRPr="00D61126">
        <w:t xml:space="preserve"> </w:t>
      </w:r>
      <w:r w:rsidR="001063F5" w:rsidRPr="00D61126">
        <w:t xml:space="preserve">because section 7(h) does not refer </w:t>
      </w:r>
      <w:r w:rsidR="00F97FE5" w:rsidRPr="00D61126">
        <w:t xml:space="preserve">specifically </w:t>
      </w:r>
      <w:r w:rsidR="001063F5" w:rsidRPr="00D61126">
        <w:t>to holders of “temporary certificates</w:t>
      </w:r>
      <w:r w:rsidR="007750CB" w:rsidRPr="00D61126">
        <w:t>,</w:t>
      </w:r>
      <w:r w:rsidR="001063F5" w:rsidRPr="00D61126">
        <w:t xml:space="preserve">” </w:t>
      </w:r>
      <w:r w:rsidR="00052231" w:rsidRPr="00D61126">
        <w:t>the provision does</w:t>
      </w:r>
      <w:r w:rsidR="0099497D" w:rsidRPr="00D61126">
        <w:t xml:space="preserve"> not satisfy the </w:t>
      </w:r>
      <w:r w:rsidR="009B09A8">
        <w:t>principle</w:t>
      </w:r>
      <w:r w:rsidR="009B09A8" w:rsidRPr="00D61126">
        <w:t xml:space="preserve"> </w:t>
      </w:r>
      <w:r w:rsidR="0099497D" w:rsidRPr="00D61126">
        <w:t xml:space="preserve">that </w:t>
      </w:r>
      <w:r w:rsidR="008A1138">
        <w:t xml:space="preserve">the Commission’s </w:t>
      </w:r>
      <w:r w:rsidR="00EC13A1" w:rsidRPr="00D61126">
        <w:t>grant of eminent domain</w:t>
      </w:r>
      <w:r w:rsidR="0099497D" w:rsidRPr="00D61126">
        <w:t xml:space="preserve"> must be </w:t>
      </w:r>
      <w:r w:rsidR="00EC13A1" w:rsidRPr="00D61126">
        <w:t>expressly authorized and narrowly construed</w:t>
      </w:r>
      <w:r w:rsidR="0099497D" w:rsidRPr="00D61126">
        <w:t>.</w:t>
      </w:r>
      <w:r w:rsidR="0099497D" w:rsidRPr="00D61126">
        <w:rPr>
          <w:rStyle w:val="FootnoteReference"/>
        </w:rPr>
        <w:footnoteReference w:id="20"/>
      </w:r>
      <w:r w:rsidR="0099497D" w:rsidRPr="00D61126">
        <w:t xml:space="preserve">  </w:t>
      </w:r>
      <w:r w:rsidR="00EE2C91" w:rsidRPr="00EE2C91">
        <w:t xml:space="preserve">The </w:t>
      </w:r>
      <w:proofErr w:type="spellStart"/>
      <w:r w:rsidR="00EE2C91" w:rsidRPr="00EE2C91">
        <w:t>Niskanen</w:t>
      </w:r>
      <w:proofErr w:type="spellEnd"/>
      <w:r w:rsidR="00EE2C91" w:rsidRPr="00EE2C91">
        <w:t xml:space="preserve"> Center </w:t>
      </w:r>
      <w:r w:rsidR="00EE2C91">
        <w:t xml:space="preserve">argues that it is </w:t>
      </w:r>
      <w:r w:rsidR="00EE2C91">
        <w:lastRenderedPageBreak/>
        <w:t xml:space="preserve">incumbent on the Commission to take a position </w:t>
      </w:r>
      <w:r w:rsidR="005475BE">
        <w:t>on whether eminent domain authority extends to temporary certificate holders</w:t>
      </w:r>
      <w:r w:rsidR="005475BE">
        <w:rPr>
          <w:rStyle w:val="FootnoteReference"/>
        </w:rPr>
        <w:footnoteReference w:id="21"/>
      </w:r>
      <w:r w:rsidR="005475BE">
        <w:t xml:space="preserve"> </w:t>
      </w:r>
      <w:r w:rsidR="001407C6">
        <w:t>and</w:t>
      </w:r>
      <w:r w:rsidR="005475BE">
        <w:t xml:space="preserve"> that by refusing to opine on this issue the Commission is effectively </w:t>
      </w:r>
      <w:r w:rsidR="005475BE" w:rsidRPr="004A5068">
        <w:t xml:space="preserve">endorsing Spire’s use of </w:t>
      </w:r>
      <w:r w:rsidR="000958A9">
        <w:t>eminent domain authority</w:t>
      </w:r>
      <w:r w:rsidR="000958A9" w:rsidRPr="004A5068">
        <w:t xml:space="preserve"> </w:t>
      </w:r>
      <w:r w:rsidR="005475BE" w:rsidRPr="004A5068">
        <w:t>under the temporary certificate.</w:t>
      </w:r>
      <w:r w:rsidR="005475BE" w:rsidRPr="004A5068">
        <w:rPr>
          <w:rStyle w:val="FootnoteReference"/>
        </w:rPr>
        <w:footnoteReference w:id="22"/>
      </w:r>
    </w:p>
    <w:p w14:paraId="22F8934F" w14:textId="64A3862E" w:rsidR="00AA17B2" w:rsidRPr="004A5068" w:rsidRDefault="000F1ED3" w:rsidP="00D01A0C">
      <w:pPr>
        <w:pStyle w:val="FERCparanumber"/>
      </w:pPr>
      <w:r w:rsidRPr="004A5068">
        <w:t xml:space="preserve">In 1947, </w:t>
      </w:r>
      <w:r w:rsidR="00737B11" w:rsidRPr="004A5068">
        <w:t xml:space="preserve">Congress added section 7(h) to the </w:t>
      </w:r>
      <w:r w:rsidR="0072431E" w:rsidRPr="004A5068">
        <w:t>NGA</w:t>
      </w:r>
      <w:r w:rsidR="00D66538" w:rsidRPr="004A5068">
        <w:t xml:space="preserve">, </w:t>
      </w:r>
      <w:r w:rsidR="00531798" w:rsidRPr="004A5068">
        <w:t>allow</w:t>
      </w:r>
      <w:r w:rsidR="00843FF5" w:rsidRPr="004A5068">
        <w:t>ing “any</w:t>
      </w:r>
      <w:r w:rsidR="00531798" w:rsidRPr="004A5068">
        <w:t xml:space="preserve"> holder of a certificate of public convenience and necessity</w:t>
      </w:r>
      <w:r w:rsidR="00843FF5" w:rsidRPr="004A5068">
        <w:t>”</w:t>
      </w:r>
      <w:r w:rsidR="00531798" w:rsidRPr="004A5068">
        <w:t xml:space="preserve"> to exercise </w:t>
      </w:r>
      <w:r w:rsidR="00737B11" w:rsidRPr="004A5068">
        <w:t>a federal</w:t>
      </w:r>
      <w:r w:rsidR="00531798" w:rsidRPr="004A5068">
        <w:t xml:space="preserve"> right of eminent domain to acquire land or other property necessary to construct, operate, and maintain a pipeline and related equipment, if the certificate-holder </w:t>
      </w:r>
      <w:r w:rsidR="00D66538" w:rsidRPr="004A5068">
        <w:t>cannot</w:t>
      </w:r>
      <w:r w:rsidR="00737B11" w:rsidRPr="004A5068">
        <w:t xml:space="preserve"> </w:t>
      </w:r>
      <w:r w:rsidR="00531798" w:rsidRPr="004A5068">
        <w:t>acquire the land or other property by contract.</w:t>
      </w:r>
      <w:r w:rsidR="00737B11" w:rsidRPr="004A5068">
        <w:rPr>
          <w:rStyle w:val="FootnoteReference"/>
        </w:rPr>
        <w:footnoteReference w:id="23"/>
      </w:r>
      <w:r w:rsidR="00D01A0C" w:rsidRPr="004A5068">
        <w:t xml:space="preserve">  </w:t>
      </w:r>
      <w:r w:rsidR="00AA17B2" w:rsidRPr="004A5068">
        <w:t>C</w:t>
      </w:r>
      <w:r w:rsidR="0018680E" w:rsidRPr="004A5068">
        <w:t xml:space="preserve">ourts have </w:t>
      </w:r>
      <w:r w:rsidR="00C635DC" w:rsidRPr="004A5068">
        <w:t xml:space="preserve">repeatedly </w:t>
      </w:r>
      <w:r w:rsidR="00D01A0C" w:rsidRPr="004A5068">
        <w:t>held</w:t>
      </w:r>
      <w:r w:rsidR="00AF2632" w:rsidRPr="004A5068">
        <w:t xml:space="preserve"> </w:t>
      </w:r>
      <w:r w:rsidR="0018680E" w:rsidRPr="004A5068">
        <w:t xml:space="preserve">that </w:t>
      </w:r>
      <w:r w:rsidR="00DE4EA8" w:rsidRPr="004A5068">
        <w:t xml:space="preserve">Congress </w:t>
      </w:r>
      <w:r w:rsidR="00AA17B2" w:rsidRPr="004A5068">
        <w:t>did not give</w:t>
      </w:r>
      <w:r w:rsidR="00DE4EA8" w:rsidRPr="004A5068">
        <w:t xml:space="preserve"> the </w:t>
      </w:r>
      <w:r w:rsidR="0018680E" w:rsidRPr="004A5068">
        <w:t xml:space="preserve">Commission authority to deny or restrict </w:t>
      </w:r>
      <w:r w:rsidR="005218D1" w:rsidRPr="004A5068">
        <w:t>a certificate-holder’s</w:t>
      </w:r>
      <w:r w:rsidR="0018680E" w:rsidRPr="004A5068">
        <w:t xml:space="preserve"> exercise of the </w:t>
      </w:r>
      <w:r w:rsidR="001343A6" w:rsidRPr="004A5068">
        <w:t xml:space="preserve">statutory </w:t>
      </w:r>
      <w:r w:rsidR="0018680E" w:rsidRPr="004A5068">
        <w:t>right of eminent domain</w:t>
      </w:r>
      <w:r w:rsidR="00D01A0C" w:rsidRPr="004A5068">
        <w:t xml:space="preserve"> </w:t>
      </w:r>
      <w:r w:rsidR="0030433E">
        <w:t>with respect to</w:t>
      </w:r>
      <w:r w:rsidR="00D01A0C" w:rsidRPr="004A5068">
        <w:t xml:space="preserve"> a certificate issued pursuant to the procedures laid out in section 7(e)</w:t>
      </w:r>
      <w:r w:rsidR="00AA17B2" w:rsidRPr="004A5068">
        <w:t>.</w:t>
      </w:r>
      <w:r w:rsidR="0018680E" w:rsidRPr="004A5068">
        <w:rPr>
          <w:rStyle w:val="FootnoteReference"/>
        </w:rPr>
        <w:footnoteReference w:id="24"/>
      </w:r>
      <w:r w:rsidR="001F7214" w:rsidRPr="004A5068">
        <w:t xml:space="preserve"> </w:t>
      </w:r>
      <w:r w:rsidR="00AA17B2" w:rsidRPr="004A5068">
        <w:t xml:space="preserve"> Courts have provided less guidance, however, on whether the same holds true in the case of a temporary certificate. </w:t>
      </w:r>
    </w:p>
    <w:p w14:paraId="782B012C" w14:textId="1B1593AB" w:rsidR="00B12C71" w:rsidRPr="00B3545F" w:rsidRDefault="00CF079A" w:rsidP="00B12C71">
      <w:pPr>
        <w:pStyle w:val="FERCparanumber"/>
      </w:pPr>
      <w:r>
        <w:lastRenderedPageBreak/>
        <w:t>T</w:t>
      </w:r>
      <w:r w:rsidR="00B12C71" w:rsidRPr="009629FA">
        <w:t xml:space="preserve">he Commission </w:t>
      </w:r>
      <w:r w:rsidR="00460C16">
        <w:t xml:space="preserve">continues to find that the </w:t>
      </w:r>
      <w:r w:rsidR="00CE1AFB">
        <w:t>applicability</w:t>
      </w:r>
      <w:r w:rsidR="00460C16">
        <w:t xml:space="preserve"> of NGA section 7(h)</w:t>
      </w:r>
      <w:r w:rsidR="00CE1AFB">
        <w:t xml:space="preserve"> to temporary certificates</w:t>
      </w:r>
      <w:r w:rsidR="00460C16">
        <w:t xml:space="preserve"> is an issue better resolved by the courts</w:t>
      </w:r>
      <w:r w:rsidR="00B12C71">
        <w:t>.</w:t>
      </w:r>
      <w:r w:rsidR="00B12C71">
        <w:rPr>
          <w:rStyle w:val="FootnoteReference"/>
        </w:rPr>
        <w:footnoteReference w:id="25"/>
      </w:r>
      <w:r w:rsidR="00B12C71" w:rsidRPr="00AA17B2">
        <w:t xml:space="preserve"> </w:t>
      </w:r>
      <w:r w:rsidR="00CE1AFB">
        <w:t xml:space="preserve"> </w:t>
      </w:r>
      <w:r w:rsidR="000A6177">
        <w:t>We disagree with</w:t>
      </w:r>
      <w:r w:rsidR="00B12C71" w:rsidRPr="007B40CF">
        <w:t xml:space="preserve"> the </w:t>
      </w:r>
      <w:proofErr w:type="spellStart"/>
      <w:r w:rsidR="00B12C71" w:rsidRPr="007B40CF">
        <w:t>Niskanen</w:t>
      </w:r>
      <w:proofErr w:type="spellEnd"/>
      <w:r w:rsidR="00B12C71" w:rsidRPr="007B40CF">
        <w:t xml:space="preserve"> Center’s contention that by taking </w:t>
      </w:r>
      <w:r w:rsidR="00A473FA">
        <w:t>this</w:t>
      </w:r>
      <w:r w:rsidR="00B12C71" w:rsidRPr="007B40CF">
        <w:t xml:space="preserve"> approach, </w:t>
      </w:r>
      <w:r w:rsidR="00B12C71">
        <w:t>the Commission</w:t>
      </w:r>
      <w:r w:rsidR="00B12C71" w:rsidRPr="007B40CF">
        <w:t xml:space="preserve"> is “affirmatively endorsing</w:t>
      </w:r>
      <w:r w:rsidR="00B12C71">
        <w:t xml:space="preserve"> Spire’s attempts to complete condemnation.”</w:t>
      </w:r>
      <w:r w:rsidR="00B12C71">
        <w:rPr>
          <w:rStyle w:val="FootnoteReference"/>
        </w:rPr>
        <w:footnoteReference w:id="26"/>
      </w:r>
      <w:r w:rsidR="00B12C71">
        <w:t xml:space="preserve">  To the contrary, by virtue of the Commission leaving this question to resolution by the judiciary, the Commission is respecting the prerogative of federal courts, which have jurisdiction over eminent domain proceedings under the NGA, to determine how such questions should be resolved.</w:t>
      </w:r>
      <w:r w:rsidR="00BF54D3">
        <w:rPr>
          <w:rStyle w:val="FootnoteReference"/>
        </w:rPr>
        <w:footnoteReference w:id="27"/>
      </w:r>
    </w:p>
    <w:p w14:paraId="471A2AB7" w14:textId="1136F053" w:rsidR="004A5068" w:rsidRDefault="00BD46F9" w:rsidP="00B3545F">
      <w:pPr>
        <w:pStyle w:val="FERCparanumber"/>
      </w:pPr>
      <w:r>
        <w:t>W</w:t>
      </w:r>
      <w:r w:rsidR="00460C16">
        <w:t>e note that t</w:t>
      </w:r>
      <w:r w:rsidR="00AA17B2">
        <w:t xml:space="preserve">wo federal district courts recently </w:t>
      </w:r>
      <w:r w:rsidR="00E2569E">
        <w:t>held that temporary certificates</w:t>
      </w:r>
      <w:r w:rsidR="00FF775A">
        <w:t xml:space="preserve"> confer eminent domain authority</w:t>
      </w:r>
      <w:r w:rsidR="00AA17B2">
        <w:t xml:space="preserve">. </w:t>
      </w:r>
      <w:r w:rsidR="00460C16">
        <w:t xml:space="preserve"> </w:t>
      </w:r>
      <w:r w:rsidR="00751ED8">
        <w:t xml:space="preserve">In </w:t>
      </w:r>
      <w:r w:rsidR="00751ED8" w:rsidRPr="00751ED8">
        <w:rPr>
          <w:i/>
          <w:iCs/>
        </w:rPr>
        <w:t>Spire STL Pipeline LLC v. Jefferson</w:t>
      </w:r>
      <w:r w:rsidR="00751ED8">
        <w:t xml:space="preserve">, the </w:t>
      </w:r>
      <w:r w:rsidR="009341C3">
        <w:t xml:space="preserve">       </w:t>
      </w:r>
      <w:r w:rsidR="00751ED8">
        <w:t xml:space="preserve">District Court for the Central District of Illinois held that “the only reasonable construction of </w:t>
      </w:r>
      <w:r w:rsidR="00782FA1">
        <w:t>§ </w:t>
      </w:r>
      <w:r w:rsidR="00751ED8">
        <w:t>717f is that temporary certificates issued under subsection (c) are ‘certificates of public convenience and necessity’ under subsection [7](h)” and thus eminent domain authority attaches to a holder of such a certificate.</w:t>
      </w:r>
      <w:r w:rsidR="00751ED8">
        <w:rPr>
          <w:rStyle w:val="FootnoteReference"/>
        </w:rPr>
        <w:footnoteReference w:id="28"/>
      </w:r>
      <w:r w:rsidR="0017011E">
        <w:t xml:space="preserve"> </w:t>
      </w:r>
      <w:r w:rsidR="00D35DBE">
        <w:t xml:space="preserve"> </w:t>
      </w:r>
      <w:r w:rsidR="000E4BBC">
        <w:t xml:space="preserve">Similarly, in </w:t>
      </w:r>
      <w:r w:rsidR="009341C3">
        <w:t xml:space="preserve">    </w:t>
      </w:r>
      <w:r w:rsidR="000E4BBC" w:rsidRPr="000E4BBC">
        <w:rPr>
          <w:i/>
          <w:iCs/>
        </w:rPr>
        <w:t>Spire STL Pipeline LLC v. 3.31 Acres of Land</w:t>
      </w:r>
      <w:r w:rsidR="000E4BBC">
        <w:t xml:space="preserve">, the District Court for the Eastern District </w:t>
      </w:r>
      <w:r w:rsidR="000E4BBC">
        <w:lastRenderedPageBreak/>
        <w:t xml:space="preserve">of Missouri concluded that “[a] </w:t>
      </w:r>
      <w:r w:rsidR="000E4BBC" w:rsidRPr="000E4BBC">
        <w:t>temporary certificate confers eminent domain authority.</w:t>
      </w:r>
      <w:r w:rsidR="00DE304D">
        <w:t>”</w:t>
      </w:r>
      <w:r w:rsidR="00DE304D">
        <w:rPr>
          <w:rStyle w:val="FootnoteReference"/>
        </w:rPr>
        <w:footnoteReference w:id="29"/>
      </w:r>
      <w:r w:rsidR="009629FA">
        <w:t xml:space="preserve">  </w:t>
      </w:r>
    </w:p>
    <w:p w14:paraId="7EF8FE09" w14:textId="51F915E3" w:rsidR="00AD0EC0" w:rsidRPr="00ED2EAF" w:rsidRDefault="00D03CF0" w:rsidP="00FF0632">
      <w:pPr>
        <w:pStyle w:val="FERCparanumber"/>
      </w:pPr>
      <w:r w:rsidRPr="00ED2EAF">
        <w:t>The</w:t>
      </w:r>
      <w:r w:rsidR="005F5B64" w:rsidRPr="00ED2EAF">
        <w:t xml:space="preserve"> </w:t>
      </w:r>
      <w:proofErr w:type="spellStart"/>
      <w:r w:rsidR="005F5B64" w:rsidRPr="00ED2EAF">
        <w:t>Niskanen</w:t>
      </w:r>
      <w:proofErr w:type="spellEnd"/>
      <w:r w:rsidR="005F5B64" w:rsidRPr="00ED2EAF">
        <w:t xml:space="preserve"> Center</w:t>
      </w:r>
      <w:r w:rsidRPr="00ED2EAF">
        <w:t xml:space="preserve"> also</w:t>
      </w:r>
      <w:r w:rsidR="005F5B64" w:rsidRPr="00ED2EAF">
        <w:t xml:space="preserve"> </w:t>
      </w:r>
      <w:r w:rsidR="00C375F6" w:rsidRPr="00ED2EAF">
        <w:t>contend</w:t>
      </w:r>
      <w:r w:rsidRPr="00ED2EAF">
        <w:t>s</w:t>
      </w:r>
      <w:r w:rsidR="00C375F6" w:rsidRPr="00ED2EAF">
        <w:t xml:space="preserve"> that</w:t>
      </w:r>
      <w:r w:rsidR="00072B6C" w:rsidRPr="00ED2EAF">
        <w:t>,</w:t>
      </w:r>
      <w:r w:rsidR="00C375F6" w:rsidRPr="00ED2EAF">
        <w:t xml:space="preserve"> under </w:t>
      </w:r>
      <w:r w:rsidR="00F97FE5" w:rsidRPr="00ED2EAF">
        <w:t xml:space="preserve">Commission </w:t>
      </w:r>
      <w:r w:rsidR="00C375F6" w:rsidRPr="00ED2EAF">
        <w:t>Order</w:t>
      </w:r>
      <w:r w:rsidR="00F97FE5" w:rsidRPr="00ED2EAF">
        <w:t xml:space="preserve"> No</w:t>
      </w:r>
      <w:r w:rsidR="00C375F6" w:rsidRPr="00ED2EAF">
        <w:t>s</w:t>
      </w:r>
      <w:r w:rsidR="00F97FE5" w:rsidRPr="00ED2EAF">
        <w:t>.</w:t>
      </w:r>
      <w:r w:rsidR="00C375F6" w:rsidRPr="00ED2EAF">
        <w:t xml:space="preserve"> 871-B and 871-C, the temporary certificate</w:t>
      </w:r>
      <w:r w:rsidR="000F1ED3" w:rsidRPr="00ED2EAF">
        <w:t xml:space="preserve"> is</w:t>
      </w:r>
      <w:r w:rsidR="00C375F6" w:rsidRPr="00ED2EAF">
        <w:t xml:space="preserve"> </w:t>
      </w:r>
      <w:r w:rsidR="00C632C9" w:rsidRPr="00ED2EAF">
        <w:t xml:space="preserve">presumptively </w:t>
      </w:r>
      <w:r w:rsidR="00C375F6" w:rsidRPr="00ED2EAF">
        <w:t>stayed pending the Commission’s response to the requests for rehearing</w:t>
      </w:r>
      <w:r w:rsidR="009F60C1" w:rsidRPr="00ED2EAF">
        <w:t>.</w:t>
      </w:r>
      <w:r w:rsidR="000F1ED3" w:rsidRPr="00ED2EAF">
        <w:rPr>
          <w:rStyle w:val="FootnoteReference"/>
        </w:rPr>
        <w:footnoteReference w:id="30"/>
      </w:r>
      <w:r w:rsidR="00C375F6" w:rsidRPr="00ED2EAF">
        <w:t xml:space="preserve"> </w:t>
      </w:r>
      <w:r w:rsidR="009F60C1" w:rsidRPr="00ED2EAF">
        <w:t xml:space="preserve"> </w:t>
      </w:r>
      <w:r w:rsidR="00B65B43" w:rsidRPr="00ED2EAF">
        <w:t>T</w:t>
      </w:r>
      <w:r w:rsidR="00DF74F4" w:rsidRPr="00ED2EAF">
        <w:t xml:space="preserve">he Center </w:t>
      </w:r>
      <w:r w:rsidR="00C375F6" w:rsidRPr="00ED2EAF">
        <w:t>asserts that</w:t>
      </w:r>
      <w:r w:rsidR="00CE1AFB">
        <w:t>,</w:t>
      </w:r>
      <w:r w:rsidR="00C375F6" w:rsidRPr="00ED2EAF">
        <w:t xml:space="preserve"> because the Commission can stay a certificate under Order</w:t>
      </w:r>
      <w:r w:rsidR="00F97FE5" w:rsidRPr="00ED2EAF">
        <w:t xml:space="preserve"> No</w:t>
      </w:r>
      <w:r w:rsidR="00C375F6" w:rsidRPr="00ED2EAF">
        <w:t>s</w:t>
      </w:r>
      <w:r w:rsidR="00F97FE5" w:rsidRPr="00ED2EAF">
        <w:t>.</w:t>
      </w:r>
      <w:r w:rsidR="00C375F6" w:rsidRPr="00ED2EAF">
        <w:t xml:space="preserve"> 871-B and 871-C, the Commission </w:t>
      </w:r>
      <w:r w:rsidR="00782FA1">
        <w:t xml:space="preserve">necessarily </w:t>
      </w:r>
      <w:r w:rsidR="00C375F6" w:rsidRPr="00ED2EAF">
        <w:t xml:space="preserve">can take the </w:t>
      </w:r>
      <w:r w:rsidR="009440FB">
        <w:t>targeted</w:t>
      </w:r>
      <w:r w:rsidR="009440FB" w:rsidRPr="00ED2EAF">
        <w:t xml:space="preserve"> </w:t>
      </w:r>
      <w:r w:rsidR="00C375F6" w:rsidRPr="00ED2EAF">
        <w:t xml:space="preserve">step </w:t>
      </w:r>
      <w:r w:rsidR="00072B6C" w:rsidRPr="00ED2EAF">
        <w:t>of</w:t>
      </w:r>
      <w:r w:rsidR="00C375F6" w:rsidRPr="00ED2EAF">
        <w:t xml:space="preserve"> stay</w:t>
      </w:r>
      <w:r w:rsidR="00072B6C" w:rsidRPr="00ED2EAF">
        <w:t>ing</w:t>
      </w:r>
      <w:r w:rsidR="00C375F6" w:rsidRPr="00ED2EAF">
        <w:t xml:space="preserve"> only the eminent domain authority related to </w:t>
      </w:r>
      <w:r w:rsidR="00933913" w:rsidRPr="00ED2EAF">
        <w:t>a</w:t>
      </w:r>
      <w:r w:rsidR="00C375F6" w:rsidRPr="00ED2EAF">
        <w:t xml:space="preserve"> temporary certificate.</w:t>
      </w:r>
      <w:r w:rsidR="00C375F6" w:rsidRPr="00ED2EAF">
        <w:rPr>
          <w:rStyle w:val="FootnoteReference"/>
        </w:rPr>
        <w:footnoteReference w:id="31"/>
      </w:r>
    </w:p>
    <w:p w14:paraId="23320B36" w14:textId="047C8DD6" w:rsidR="004F59B2" w:rsidRPr="00D61126" w:rsidRDefault="00484C86" w:rsidP="00B1011F">
      <w:pPr>
        <w:pStyle w:val="FERCparanumber"/>
      </w:pPr>
      <w:r w:rsidRPr="00D61126">
        <w:t xml:space="preserve">In Order Nos. 871-B and 871-C, </w:t>
      </w:r>
      <w:r w:rsidR="005B2E1C" w:rsidRPr="00D61126">
        <w:t>the</w:t>
      </w:r>
      <w:r w:rsidR="005C7EE7" w:rsidRPr="00D61126">
        <w:t xml:space="preserve"> Commission adopted </w:t>
      </w:r>
      <w:r w:rsidR="006830C1" w:rsidRPr="00D61126">
        <w:t xml:space="preserve">a </w:t>
      </w:r>
      <w:r w:rsidR="005C7EE7" w:rsidRPr="00D61126">
        <w:t>policy</w:t>
      </w:r>
      <w:r w:rsidR="004F59B2" w:rsidRPr="00D61126">
        <w:t xml:space="preserve"> </w:t>
      </w:r>
      <w:r w:rsidR="00072B6C" w:rsidRPr="00D61126">
        <w:t>of</w:t>
      </w:r>
      <w:r w:rsidR="005C7EE7" w:rsidRPr="00D61126">
        <w:t xml:space="preserve"> presumptively stay</w:t>
      </w:r>
      <w:r w:rsidR="00072B6C" w:rsidRPr="00D61126">
        <w:t>ing</w:t>
      </w:r>
      <w:r w:rsidR="005C7EE7" w:rsidRPr="00D61126">
        <w:t xml:space="preserve"> a certificate order </w:t>
      </w:r>
      <w:r w:rsidR="006830C1" w:rsidRPr="00D61126">
        <w:t>during the 30-day rehearing period and pending Commission resolution of requests for rehearing filed by landowners,</w:t>
      </w:r>
      <w:r w:rsidR="005C7EE7" w:rsidRPr="00D61126">
        <w:t xml:space="preserve"> </w:t>
      </w:r>
      <w:r w:rsidR="00A613C5" w:rsidRPr="00D61126">
        <w:t xml:space="preserve">thereby </w:t>
      </w:r>
      <w:r w:rsidR="00CE2E3C" w:rsidRPr="00D61126">
        <w:t>address</w:t>
      </w:r>
      <w:r w:rsidR="00A613C5" w:rsidRPr="00D61126">
        <w:t>ing</w:t>
      </w:r>
      <w:r w:rsidR="00CE2E3C" w:rsidRPr="00D61126">
        <w:t xml:space="preserve"> concerns regarding a</w:t>
      </w:r>
      <w:r w:rsidR="004F59B2" w:rsidRPr="00D61126">
        <w:t xml:space="preserve"> certificate-holder’s exercise of eminent domain</w:t>
      </w:r>
      <w:r w:rsidR="00CE2E3C" w:rsidRPr="00D61126">
        <w:t xml:space="preserve"> prior to the conclusion of Commission proceedings</w:t>
      </w:r>
      <w:r w:rsidR="00647260" w:rsidRPr="00D61126">
        <w:t>.</w:t>
      </w:r>
      <w:r w:rsidR="004F59B2" w:rsidRPr="00D61126">
        <w:rPr>
          <w:rStyle w:val="FootnoteReference"/>
        </w:rPr>
        <w:footnoteReference w:id="32"/>
      </w:r>
      <w:r w:rsidR="004F59B2" w:rsidRPr="00D61126">
        <w:t xml:space="preserve"> </w:t>
      </w:r>
      <w:r w:rsidR="00647260" w:rsidRPr="00D61126">
        <w:t xml:space="preserve"> Nevertheless, that stay is </w:t>
      </w:r>
      <w:r w:rsidR="00AF499C" w:rsidRPr="00D61126">
        <w:t>“</w:t>
      </w:r>
      <w:r w:rsidR="00647260" w:rsidRPr="00D61126">
        <w:t>only presumptive</w:t>
      </w:r>
      <w:r w:rsidR="00AF499C" w:rsidRPr="00D61126">
        <w:t>”</w:t>
      </w:r>
      <w:r w:rsidR="00647260" w:rsidRPr="00D61126">
        <w:t xml:space="preserve"> and the Commission made clear that “the question of whether to impose a stay will be decided on the circumstances presented in each particular certificate proceeding.”</w:t>
      </w:r>
      <w:r w:rsidR="00AF499C" w:rsidRPr="00D61126">
        <w:rPr>
          <w:rStyle w:val="FootnoteReference"/>
        </w:rPr>
        <w:footnoteReference w:id="33"/>
      </w:r>
      <w:r w:rsidR="00647260" w:rsidRPr="00D61126">
        <w:t xml:space="preserve">  </w:t>
      </w:r>
      <w:r w:rsidR="005B2E1C" w:rsidRPr="00D61126">
        <w:t xml:space="preserve"> Here</w:t>
      </w:r>
      <w:r w:rsidR="00E73DE3" w:rsidRPr="00D61126">
        <w:t>,</w:t>
      </w:r>
      <w:r w:rsidR="005B2E1C" w:rsidRPr="00D61126">
        <w:t xml:space="preserve"> the Commission found that </w:t>
      </w:r>
      <w:r w:rsidR="0000327B" w:rsidRPr="00D61126">
        <w:t>a</w:t>
      </w:r>
      <w:r w:rsidR="009F5E88" w:rsidRPr="00D61126">
        <w:t xml:space="preserve">n </w:t>
      </w:r>
      <w:r w:rsidRPr="00D61126">
        <w:t>“</w:t>
      </w:r>
      <w:r w:rsidR="0000327B" w:rsidRPr="00D61126">
        <w:t>emergency</w:t>
      </w:r>
      <w:r w:rsidRPr="00D61126">
        <w:t>”</w:t>
      </w:r>
      <w:r w:rsidR="0000327B" w:rsidRPr="00D61126">
        <w:t xml:space="preserve"> exists</w:t>
      </w:r>
      <w:r w:rsidR="009F5E88" w:rsidRPr="00D61126">
        <w:t>, at least temporarily,</w:t>
      </w:r>
      <w:r w:rsidR="0000327B" w:rsidRPr="00D61126">
        <w:t xml:space="preserve"> </w:t>
      </w:r>
      <w:r w:rsidR="00D90BAC" w:rsidRPr="00D61126">
        <w:t>because “without a temporary certificate, Spire’s customer, Spire Missouri, will experience a loss of gas supply potentially impacting hundreds of thousands of homes and business</w:t>
      </w:r>
      <w:r w:rsidR="00740D3D">
        <w:t>es</w:t>
      </w:r>
      <w:r w:rsidR="00D90BAC" w:rsidRPr="00D61126">
        <w:t xml:space="preserve"> </w:t>
      </w:r>
      <w:r w:rsidR="00D90BAC" w:rsidRPr="00D61126">
        <w:lastRenderedPageBreak/>
        <w:t>during the winter heating season.”</w:t>
      </w:r>
      <w:r w:rsidR="0000327B" w:rsidRPr="00D61126">
        <w:rPr>
          <w:rStyle w:val="FootnoteReference"/>
        </w:rPr>
        <w:footnoteReference w:id="34"/>
      </w:r>
      <w:r w:rsidR="005B2E1C" w:rsidRPr="00D61126">
        <w:t xml:space="preserve"> </w:t>
      </w:r>
      <w:r w:rsidR="000F1ED3" w:rsidRPr="00D61126">
        <w:t xml:space="preserve"> </w:t>
      </w:r>
      <w:r w:rsidR="00A72DE7" w:rsidRPr="00D61126">
        <w:t xml:space="preserve">It would have been inconsistent with </w:t>
      </w:r>
      <w:r w:rsidRPr="00D61126">
        <w:t>that finding of a</w:t>
      </w:r>
      <w:r w:rsidR="009F5E88" w:rsidRPr="00D61126">
        <w:t xml:space="preserve"> temporary</w:t>
      </w:r>
      <w:r w:rsidRPr="00D61126">
        <w:t xml:space="preserve"> emergency</w:t>
      </w:r>
      <w:r w:rsidR="00A72DE7" w:rsidRPr="00D61126">
        <w:t xml:space="preserve"> </w:t>
      </w:r>
      <w:r w:rsidR="00647260" w:rsidRPr="00D61126">
        <w:t>to stay the certificate, thereby perpetuating the emergency circumstances that the certificate was issued to remedy</w:t>
      </w:r>
      <w:r w:rsidR="00C56A92" w:rsidRPr="00D61126">
        <w:t>.</w:t>
      </w:r>
      <w:r w:rsidR="00872D5F" w:rsidRPr="00D61126">
        <w:t xml:space="preserve"> </w:t>
      </w:r>
      <w:r w:rsidR="00C56A92" w:rsidRPr="00D61126">
        <w:t xml:space="preserve"> </w:t>
      </w:r>
      <w:r w:rsidR="00A72DE7" w:rsidRPr="00D61126">
        <w:t>Under these circumstances</w:t>
      </w:r>
      <w:r w:rsidR="00C56A92" w:rsidRPr="00D61126">
        <w:t xml:space="preserve">, </w:t>
      </w:r>
      <w:r w:rsidR="00647260" w:rsidRPr="00D61126">
        <w:t xml:space="preserve">we </w:t>
      </w:r>
      <w:r w:rsidR="00A72DE7" w:rsidRPr="00D61126">
        <w:t xml:space="preserve">find </w:t>
      </w:r>
      <w:r w:rsidR="00647260" w:rsidRPr="00D61126">
        <w:t>that it would be inappropriate to have temporarily stayed the certificate pending rehearing</w:t>
      </w:r>
      <w:r w:rsidR="00001D7F" w:rsidRPr="00D61126">
        <w:t>.</w:t>
      </w:r>
    </w:p>
    <w:p w14:paraId="2966F048" w14:textId="627A1E76" w:rsidR="000A798E" w:rsidRDefault="001407C6" w:rsidP="00B1011F">
      <w:pPr>
        <w:pStyle w:val="FERCparanumber"/>
      </w:pPr>
      <w:r>
        <w:t>We also</w:t>
      </w:r>
      <w:r w:rsidR="00123E1F" w:rsidRPr="00123E1F">
        <w:t xml:space="preserve"> reject the </w:t>
      </w:r>
      <w:proofErr w:type="spellStart"/>
      <w:r w:rsidR="00123E1F" w:rsidRPr="00123E1F">
        <w:t>Niskanen</w:t>
      </w:r>
      <w:proofErr w:type="spellEnd"/>
      <w:r w:rsidR="00123E1F" w:rsidRPr="00123E1F">
        <w:t xml:space="preserve"> Center’s contention that “[h]</w:t>
      </w:r>
      <w:proofErr w:type="spellStart"/>
      <w:r w:rsidR="00123E1F" w:rsidRPr="00123E1F">
        <w:t>aving</w:t>
      </w:r>
      <w:proofErr w:type="spellEnd"/>
      <w:r w:rsidR="00123E1F" w:rsidRPr="00123E1F">
        <w:t xml:space="preserve"> the power to stay the entire certificate, the Commission surely has the authority to stay only [the eminent domain] provision.”</w:t>
      </w:r>
      <w:r w:rsidR="00123E1F" w:rsidRPr="00123E1F">
        <w:rPr>
          <w:rStyle w:val="FootnoteReference"/>
        </w:rPr>
        <w:footnoteReference w:id="35"/>
      </w:r>
      <w:r w:rsidR="00123E1F">
        <w:t xml:space="preserve">  As discussed </w:t>
      </w:r>
      <w:r>
        <w:t>above</w:t>
      </w:r>
      <w:r w:rsidR="00123E1F">
        <w:t>,</w:t>
      </w:r>
      <w:r>
        <w:rPr>
          <w:rStyle w:val="FootnoteReference"/>
        </w:rPr>
        <w:footnoteReference w:id="36"/>
      </w:r>
      <w:r w:rsidR="00123E1F">
        <w:t xml:space="preserve"> the Commission lacks authority </w:t>
      </w:r>
      <w:r w:rsidR="00123E1F" w:rsidRPr="00123E1F">
        <w:t>to deny or restrict a certificate-holder’s exercise of the statutory right of eminent domain</w:t>
      </w:r>
      <w:r w:rsidR="00AC23FF">
        <w:t>; we view that restriction as encompassing a targeted stay</w:t>
      </w:r>
      <w:r w:rsidR="00123E1F">
        <w:t xml:space="preserve">.  </w:t>
      </w:r>
      <w:r w:rsidR="00793727">
        <w:t>Thus</w:t>
      </w:r>
      <w:r w:rsidR="00365E7F">
        <w:t>, the Commission would necessarily have to stay the effectiveness of the entire temporary certificate</w:t>
      </w:r>
      <w:r w:rsidR="0027202D">
        <w:t xml:space="preserve"> </w:t>
      </w:r>
      <w:proofErr w:type="gramStart"/>
      <w:r w:rsidR="0027202D">
        <w:t>in order to</w:t>
      </w:r>
      <w:proofErr w:type="gramEnd"/>
      <w:r w:rsidR="0027202D">
        <w:t xml:space="preserve"> restrict the temporary certificate holder’s eminent domain authority</w:t>
      </w:r>
      <w:r w:rsidR="00365E7F">
        <w:t xml:space="preserve">.  </w:t>
      </w:r>
      <w:r w:rsidR="00793727">
        <w:t>S</w:t>
      </w:r>
      <w:r w:rsidR="00365E7F">
        <w:t>ince the Commission has found that an emergency exists warranting the issuance of the temporary certificate,</w:t>
      </w:r>
      <w:r w:rsidR="00AC23FF">
        <w:rPr>
          <w:rStyle w:val="FootnoteReference"/>
        </w:rPr>
        <w:footnoteReference w:id="37"/>
      </w:r>
      <w:r w:rsidR="00365E7F">
        <w:t xml:space="preserve"> </w:t>
      </w:r>
      <w:r w:rsidR="00793727">
        <w:t>we</w:t>
      </w:r>
      <w:r w:rsidR="00365E7F">
        <w:t xml:space="preserve"> decline to stay the temporary certificate in its entirety</w:t>
      </w:r>
      <w:r w:rsidR="00CE1AFB">
        <w:t>,</w:t>
      </w:r>
      <w:r w:rsidR="00365E7F">
        <w:t xml:space="preserve"> as would be required to </w:t>
      </w:r>
      <w:proofErr w:type="gramStart"/>
      <w:r w:rsidR="00365E7F">
        <w:t>effect</w:t>
      </w:r>
      <w:proofErr w:type="gramEnd"/>
      <w:r w:rsidR="00365E7F">
        <w:t xml:space="preserve"> a stay </w:t>
      </w:r>
      <w:r w:rsidR="00664924">
        <w:t xml:space="preserve">of </w:t>
      </w:r>
      <w:r w:rsidR="00365E7F">
        <w:t>Spire’s eminent domain authority.</w:t>
      </w:r>
    </w:p>
    <w:p w14:paraId="1CAFC3CD" w14:textId="7568EEF0" w:rsidR="00365E7F" w:rsidRPr="00664202" w:rsidRDefault="00365E7F" w:rsidP="00664202">
      <w:pPr>
        <w:pStyle w:val="FERCparanumber"/>
      </w:pPr>
      <w:r w:rsidRPr="00664202">
        <w:t xml:space="preserve">Moreover, </w:t>
      </w:r>
      <w:r w:rsidR="00664202" w:rsidRPr="00664202">
        <w:t>th</w:t>
      </w:r>
      <w:r w:rsidR="00664202">
        <w:t xml:space="preserve">e policy concern cited by the </w:t>
      </w:r>
      <w:proofErr w:type="spellStart"/>
      <w:r w:rsidR="00664202">
        <w:t>Niskanen</w:t>
      </w:r>
      <w:proofErr w:type="spellEnd"/>
      <w:r w:rsidR="00664202">
        <w:t xml:space="preserve"> Center that “it is fundamentally unfair for a pipeline developer to use a section 7 certificate to begin the exercise of eminent domain before the Commission has completed its review of the underlying certificate order”</w:t>
      </w:r>
      <w:r w:rsidR="00664202">
        <w:rPr>
          <w:rStyle w:val="FootnoteReference"/>
        </w:rPr>
        <w:footnoteReference w:id="38"/>
      </w:r>
      <w:r w:rsidR="00664202">
        <w:t xml:space="preserve"> does not apply in this case</w:t>
      </w:r>
      <w:r w:rsidR="00CE1AFB">
        <w:t>,</w:t>
      </w:r>
      <w:r w:rsidR="008444CE">
        <w:t xml:space="preserve"> where construction of the pipeline is complete and the purpose of the temporary certificate i</w:t>
      </w:r>
      <w:r w:rsidR="00CE1AFB">
        <w:t>s merely</w:t>
      </w:r>
      <w:r w:rsidR="008444CE">
        <w:t xml:space="preserve"> to allow a developer to continue operating and maintaining the pipeline.</w:t>
      </w:r>
      <w:r w:rsidR="008444CE">
        <w:rPr>
          <w:rStyle w:val="FootnoteReference"/>
        </w:rPr>
        <w:footnoteReference w:id="39"/>
      </w:r>
      <w:r w:rsidR="00030644">
        <w:t xml:space="preserve">  </w:t>
      </w:r>
      <w:r w:rsidR="00AC23FF" w:rsidDel="00AC23FF">
        <w:rPr>
          <w:rStyle w:val="FootnoteReference"/>
        </w:rPr>
        <w:t xml:space="preserve"> </w:t>
      </w:r>
    </w:p>
    <w:p w14:paraId="02C1A87C" w14:textId="6650FC09" w:rsidR="0053464F" w:rsidRPr="00A6601E" w:rsidRDefault="00FA2BAD" w:rsidP="00CD1DD0">
      <w:pPr>
        <w:pStyle w:val="Heading2"/>
      </w:pPr>
      <w:r w:rsidRPr="00A6601E">
        <w:lastRenderedPageBreak/>
        <w:t>Allegations of Self-Dealing</w:t>
      </w:r>
    </w:p>
    <w:p w14:paraId="3F8BE07C" w14:textId="00B1B010" w:rsidR="00A54370" w:rsidRDefault="0000640E" w:rsidP="0000640E">
      <w:pPr>
        <w:pStyle w:val="FERCparanumber"/>
      </w:pPr>
      <w:r>
        <w:t xml:space="preserve">EDF argues that the Commission was arbitrary and capricious in declining to impose conditions on the temporary certificate to address the concerns of self-dealing between Spire and Spire Missouri raised by the D.C. Circuit in </w:t>
      </w:r>
      <w:r w:rsidRPr="0000640E">
        <w:rPr>
          <w:i/>
          <w:iCs/>
        </w:rPr>
        <w:t>Environmental Defense Fund v. FERC</w:t>
      </w:r>
      <w:r>
        <w:t>.</w:t>
      </w:r>
      <w:r w:rsidR="00D20504">
        <w:rPr>
          <w:rStyle w:val="FootnoteReference"/>
        </w:rPr>
        <w:footnoteReference w:id="40"/>
      </w:r>
      <w:r w:rsidR="00D20504">
        <w:t xml:space="preserve">  </w:t>
      </w:r>
      <w:r w:rsidR="009D2F2B">
        <w:t>It</w:t>
      </w:r>
      <w:r w:rsidR="00D20504">
        <w:t xml:space="preserve"> contends that </w:t>
      </w:r>
      <w:r w:rsidR="00284AA2">
        <w:t xml:space="preserve">despite the Commission’s recognition in the </w:t>
      </w:r>
      <w:r w:rsidR="009341C3">
        <w:t xml:space="preserve"> </w:t>
      </w:r>
      <w:r w:rsidR="009D2F2B">
        <w:t>Temporary Certificate</w:t>
      </w:r>
      <w:r w:rsidR="00284AA2">
        <w:t xml:space="preserve"> Order of the D.C. Circuit’s holding that the record contained evidence of self-dealing and representation that it is addressing that issue on remand</w:t>
      </w:r>
      <w:r w:rsidR="004E60C4">
        <w:t>,</w:t>
      </w:r>
      <w:r w:rsidR="00284AA2">
        <w:rPr>
          <w:rStyle w:val="FootnoteReference"/>
        </w:rPr>
        <w:footnoteReference w:id="41"/>
      </w:r>
      <w:r w:rsidR="00284AA2">
        <w:t xml:space="preserve"> the Commission did not explain a basis upon on which it </w:t>
      </w:r>
      <w:r w:rsidR="00CE1AFB">
        <w:t>could</w:t>
      </w:r>
      <w:r w:rsidR="00284AA2">
        <w:t xml:space="preserve"> ignore record evidence of self-dealing in issuing a temporary certificate.</w:t>
      </w:r>
      <w:r w:rsidR="00284AA2">
        <w:rPr>
          <w:rStyle w:val="FootnoteReference"/>
        </w:rPr>
        <w:footnoteReference w:id="42"/>
      </w:r>
      <w:r w:rsidR="00284AA2">
        <w:t xml:space="preserve">  EDF argues that the Commission has an obligation to consider the anti-competitive impacts of all </w:t>
      </w:r>
      <w:r w:rsidR="00B90D3E">
        <w:t>s</w:t>
      </w:r>
      <w:r w:rsidR="00284AA2">
        <w:t xml:space="preserve">ection 7 </w:t>
      </w:r>
      <w:r w:rsidR="00A067F5">
        <w:t>authorizations</w:t>
      </w:r>
      <w:r w:rsidR="00284AA2">
        <w:t>, regardless whether they are temporary or permanent.</w:t>
      </w:r>
      <w:r w:rsidR="005F59F5">
        <w:rPr>
          <w:rStyle w:val="FootnoteReference"/>
        </w:rPr>
        <w:footnoteReference w:id="43"/>
      </w:r>
    </w:p>
    <w:p w14:paraId="09104FBF" w14:textId="122978A5" w:rsidR="001322A7" w:rsidRDefault="00844AB9" w:rsidP="0000640E">
      <w:pPr>
        <w:pStyle w:val="FERCparanumber"/>
      </w:pPr>
      <w:r>
        <w:t>As the Commission explained, it issued the Temporary Certificate Order upon a finding that an emergency existed which, absent the issuance of a temporary certificate, would potentially subject hundreds of thousands of homes and businesses to gas shortages during the winter heating season.</w:t>
      </w:r>
      <w:r>
        <w:rPr>
          <w:rStyle w:val="FootnoteReference"/>
        </w:rPr>
        <w:footnoteReference w:id="44"/>
      </w:r>
      <w:r>
        <w:t xml:space="preserve">  </w:t>
      </w:r>
      <w:r w:rsidR="001B48BF">
        <w:t>We</w:t>
      </w:r>
      <w:r w:rsidR="002247BC">
        <w:t xml:space="preserve"> acknowledge the D.C. Circuit</w:t>
      </w:r>
      <w:r w:rsidR="00A067F5">
        <w:t>’s</w:t>
      </w:r>
      <w:r w:rsidR="002247BC">
        <w:t xml:space="preserve"> concern that the Commission did not adequately address </w:t>
      </w:r>
      <w:r w:rsidR="001B48BF">
        <w:t>potential self-dealing allegations</w:t>
      </w:r>
      <w:r w:rsidR="008E3A74">
        <w:t xml:space="preserve"> in the </w:t>
      </w:r>
      <w:r w:rsidR="001B48BF">
        <w:t>Certificate</w:t>
      </w:r>
      <w:r w:rsidR="008E3A74">
        <w:t xml:space="preserve"> Order</w:t>
      </w:r>
      <w:r w:rsidR="001B48BF">
        <w:t>; however</w:t>
      </w:r>
      <w:r w:rsidR="002247BC">
        <w:t xml:space="preserve">, this issue has been remanded to the Commission and </w:t>
      </w:r>
      <w:r w:rsidR="007C0DCA">
        <w:t>will be</w:t>
      </w:r>
      <w:r w:rsidR="002247BC">
        <w:t xml:space="preserve"> addressed </w:t>
      </w:r>
      <w:r w:rsidR="007C0DCA">
        <w:t xml:space="preserve">when the Commission acts on </w:t>
      </w:r>
      <w:r w:rsidR="002247BC">
        <w:t>remand</w:t>
      </w:r>
      <w:r w:rsidR="007C0DCA">
        <w:t xml:space="preserve"> on Spire’s pending certificate application</w:t>
      </w:r>
      <w:r w:rsidR="002247BC">
        <w:t xml:space="preserve">. </w:t>
      </w:r>
    </w:p>
    <w:p w14:paraId="67BB866C" w14:textId="5767A220" w:rsidR="008662D2" w:rsidRDefault="00277320" w:rsidP="0000640E">
      <w:pPr>
        <w:pStyle w:val="FERCparanumber"/>
      </w:pPr>
      <w:r>
        <w:t xml:space="preserve">In vacating the </w:t>
      </w:r>
      <w:r w:rsidR="00844AB9">
        <w:t>Certificate</w:t>
      </w:r>
      <w:r>
        <w:t xml:space="preserve"> Order,</w:t>
      </w:r>
      <w:r w:rsidR="008E3A74">
        <w:t xml:space="preserve"> the D.C. Circuit </w:t>
      </w:r>
      <w:r w:rsidR="00A067F5">
        <w:t>questioned</w:t>
      </w:r>
      <w:r w:rsidR="008E3A74">
        <w:t xml:space="preserve"> </w:t>
      </w:r>
      <w:r>
        <w:t xml:space="preserve">whether a single precedent </w:t>
      </w:r>
      <w:r w:rsidR="00082D9E">
        <w:t xml:space="preserve">agreement </w:t>
      </w:r>
      <w:r>
        <w:t xml:space="preserve">between Spire and Spire Missouri, its corporate affiliate, was sufficient to demonstrate the market need and benefits required for the Commission to </w:t>
      </w:r>
      <w:r>
        <w:lastRenderedPageBreak/>
        <w:t>issue a certificate of public convenience and necessity.</w:t>
      </w:r>
      <w:r>
        <w:rPr>
          <w:rStyle w:val="FootnoteReference"/>
        </w:rPr>
        <w:footnoteReference w:id="45"/>
      </w:r>
      <w:r>
        <w:t xml:space="preserve"> </w:t>
      </w:r>
      <w:r w:rsidR="009D2F2B">
        <w:t xml:space="preserve"> </w:t>
      </w:r>
      <w:r>
        <w:t>It found that evidence of potential self-dealing raised by EDF and other parties was “more than enough to require the Commission to ‘look behind’ the precedent agreement in determining whether there was market need.”</w:t>
      </w:r>
      <w:r>
        <w:rPr>
          <w:rStyle w:val="FootnoteReference"/>
        </w:rPr>
        <w:footnoteReference w:id="46"/>
      </w:r>
      <w:r>
        <w:t xml:space="preserve"> </w:t>
      </w:r>
      <w:r w:rsidR="008D7756">
        <w:t xml:space="preserve"> </w:t>
      </w:r>
    </w:p>
    <w:p w14:paraId="1EFB10EF" w14:textId="64FD9815" w:rsidR="00284AA2" w:rsidRDefault="00C319ED" w:rsidP="00C319ED">
      <w:pPr>
        <w:pStyle w:val="FERCparanumber"/>
      </w:pPr>
      <w:r>
        <w:t xml:space="preserve">The </w:t>
      </w:r>
      <w:r w:rsidR="00897146">
        <w:t>Temporary Certificate</w:t>
      </w:r>
      <w:r>
        <w:t xml:space="preserve"> Order contains extensive discussion of the harm </w:t>
      </w:r>
      <w:r w:rsidR="00BB2308">
        <w:t xml:space="preserve">that </w:t>
      </w:r>
      <w:r w:rsidR="00765560">
        <w:t>might</w:t>
      </w:r>
      <w:r>
        <w:t xml:space="preserve"> </w:t>
      </w:r>
      <w:r w:rsidR="00BB2308">
        <w:t>bef</w:t>
      </w:r>
      <w:r w:rsidR="00A067F5">
        <w:t>a</w:t>
      </w:r>
      <w:r w:rsidR="00BB2308">
        <w:t>ll</w:t>
      </w:r>
      <w:r>
        <w:t xml:space="preserve"> Spire Missouri’s customers if a temporary certificate were not issued, </w:t>
      </w:r>
      <w:r w:rsidR="00BB2308">
        <w:t xml:space="preserve">and </w:t>
      </w:r>
      <w:r>
        <w:t>ultimately culminat</w:t>
      </w:r>
      <w:r w:rsidR="00BB2308">
        <w:t>ed</w:t>
      </w:r>
      <w:r>
        <w:t xml:space="preserve"> in the Commission determining that an emergency exists and that the temporary certificate is </w:t>
      </w:r>
      <w:r w:rsidRPr="00C319ED">
        <w:t xml:space="preserve">needed to stave off the potential of </w:t>
      </w:r>
      <w:r w:rsidR="00D338BD">
        <w:t>gas</w:t>
      </w:r>
      <w:r w:rsidR="00D338BD" w:rsidRPr="00C319ED">
        <w:t xml:space="preserve"> </w:t>
      </w:r>
      <w:r w:rsidRPr="00C319ED">
        <w:t>shortages during the winter</w:t>
      </w:r>
      <w:r>
        <w:t>.</w:t>
      </w:r>
      <w:r w:rsidR="000431B3">
        <w:rPr>
          <w:rStyle w:val="FootnoteReference"/>
        </w:rPr>
        <w:footnoteReference w:id="47"/>
      </w:r>
      <w:r w:rsidR="00765560">
        <w:t xml:space="preserve">  That finding is all that is needed to support the Commission’s action</w:t>
      </w:r>
      <w:r w:rsidR="00B909AF">
        <w:t xml:space="preserve"> here where the pipeline was previously constructed and is currently in operation</w:t>
      </w:r>
      <w:r w:rsidR="00765560">
        <w:t>.</w:t>
      </w:r>
      <w:r>
        <w:t xml:space="preserve">  </w:t>
      </w:r>
      <w:r w:rsidR="00765560">
        <w:t>A</w:t>
      </w:r>
      <w:r>
        <w:t xml:space="preserve">s previously stated, while allegations of self-dealing </w:t>
      </w:r>
      <w:r w:rsidR="00765560">
        <w:t>must</w:t>
      </w:r>
      <w:r>
        <w:t xml:space="preserve"> be taken seriously and merit additional consideration by the Commission</w:t>
      </w:r>
      <w:r w:rsidR="00765560">
        <w:t xml:space="preserve"> on remand of the Certificate Order</w:t>
      </w:r>
      <w:r>
        <w:t xml:space="preserve">, that issue is </w:t>
      </w:r>
      <w:r w:rsidR="00765560">
        <w:t xml:space="preserve">not relevant to the question addressed by the Commission in this proceeding:  whether to issue a </w:t>
      </w:r>
      <w:r w:rsidR="000C0353">
        <w:t>temporary certificate</w:t>
      </w:r>
      <w:r w:rsidR="003C0FC7">
        <w:t xml:space="preserve"> </w:t>
      </w:r>
      <w:r w:rsidR="00181035">
        <w:t xml:space="preserve">in the heart of winter </w:t>
      </w:r>
      <w:r w:rsidR="000C0353">
        <w:t>where</w:t>
      </w:r>
      <w:r w:rsidR="00181035">
        <w:t xml:space="preserve"> the health and welfare of hundreds of thousands of customers is at stake.</w:t>
      </w:r>
    </w:p>
    <w:p w14:paraId="0312B48D" w14:textId="0A5C6DAF" w:rsidR="00BC025E" w:rsidRPr="002B12E2" w:rsidRDefault="007A6C67" w:rsidP="002B12E2">
      <w:pPr>
        <w:spacing w:after="260"/>
      </w:pPr>
      <w:r w:rsidRPr="002B12E2">
        <w:rPr>
          <w:u w:val="single"/>
        </w:rPr>
        <w:t>The Commission orders</w:t>
      </w:r>
      <w:r w:rsidRPr="002B12E2">
        <w:t>:</w:t>
      </w:r>
    </w:p>
    <w:p w14:paraId="63D63130" w14:textId="6CE71568" w:rsidR="002B12E2" w:rsidRPr="002B12E2" w:rsidRDefault="002B12E2" w:rsidP="002B12E2">
      <w:pPr>
        <w:spacing w:after="260"/>
        <w:ind w:firstLine="720"/>
      </w:pPr>
      <w:r w:rsidRPr="002B12E2">
        <w:t xml:space="preserve">(A) </w:t>
      </w:r>
      <w:r>
        <w:t xml:space="preserve"> </w:t>
      </w:r>
      <w:r w:rsidRPr="002B12E2">
        <w:t xml:space="preserve">In response to the requests for rehearing filed by the </w:t>
      </w:r>
      <w:proofErr w:type="spellStart"/>
      <w:r w:rsidRPr="002B12E2">
        <w:t>Niskanen</w:t>
      </w:r>
      <w:proofErr w:type="spellEnd"/>
      <w:r w:rsidRPr="002B12E2">
        <w:t xml:space="preserve"> Center and EDF, the </w:t>
      </w:r>
      <w:r w:rsidR="00583B10">
        <w:t>Temporary Certificat</w:t>
      </w:r>
      <w:r w:rsidR="00897146">
        <w:t>e</w:t>
      </w:r>
      <w:r w:rsidRPr="002B12E2">
        <w:t xml:space="preserve"> Order is hereby modified and the result sustained, as discussed in the body of this order. </w:t>
      </w:r>
    </w:p>
    <w:p w14:paraId="7D62E446" w14:textId="59A3ECBE" w:rsidR="002B12E2" w:rsidRPr="002B12E2" w:rsidRDefault="002B12E2" w:rsidP="002B12E2">
      <w:pPr>
        <w:spacing w:after="260"/>
        <w:ind w:firstLine="720"/>
      </w:pPr>
      <w:r w:rsidRPr="002B12E2">
        <w:t xml:space="preserve">(B) </w:t>
      </w:r>
      <w:r>
        <w:t xml:space="preserve"> </w:t>
      </w:r>
      <w:r w:rsidRPr="002B12E2">
        <w:t xml:space="preserve">The request for stay filed by the </w:t>
      </w:r>
      <w:proofErr w:type="spellStart"/>
      <w:r w:rsidRPr="002B12E2">
        <w:t>Niskanen</w:t>
      </w:r>
      <w:proofErr w:type="spellEnd"/>
      <w:r w:rsidRPr="002B12E2">
        <w:t xml:space="preserve"> Center is denied, as discussed in the body of this order.  </w:t>
      </w:r>
    </w:p>
    <w:p w14:paraId="0A86DBD8" w14:textId="77777777" w:rsidR="00574E95" w:rsidRDefault="007A6C67" w:rsidP="00574E95">
      <w:r w:rsidRPr="00C319ED">
        <w:t>By the Commission.</w:t>
      </w:r>
      <w:r w:rsidR="009341C3">
        <w:t xml:space="preserve">  Commissioner </w:t>
      </w:r>
      <w:r w:rsidR="00574E95">
        <w:t xml:space="preserve">Danly is concurring in part and dissenting in part    </w:t>
      </w:r>
    </w:p>
    <w:p w14:paraId="660C7245" w14:textId="0A73B6E7" w:rsidR="007A6C67" w:rsidRDefault="00177D96" w:rsidP="00574E95">
      <w:pPr>
        <w:ind w:left="1440" w:firstLine="720"/>
      </w:pPr>
      <w:r>
        <w:t xml:space="preserve">  </w:t>
      </w:r>
      <w:r w:rsidR="00574E95">
        <w:t>with a separate statement attached.</w:t>
      </w:r>
    </w:p>
    <w:p w14:paraId="377270EB" w14:textId="3410E0FD" w:rsidR="009341C3" w:rsidRDefault="009341C3" w:rsidP="009341C3">
      <w:pPr>
        <w:widowControl/>
      </w:pPr>
      <w:proofErr w:type="gramStart"/>
      <w:r w:rsidRPr="009341C3">
        <w:t>( S</w:t>
      </w:r>
      <w:proofErr w:type="gramEnd"/>
      <w:r w:rsidRPr="009341C3">
        <w:t xml:space="preserve"> E A L )</w:t>
      </w:r>
    </w:p>
    <w:p w14:paraId="25AA32A6" w14:textId="0A3343EB" w:rsidR="00FF32A1" w:rsidRDefault="00FF32A1" w:rsidP="009341C3">
      <w:pPr>
        <w:widowControl/>
      </w:pPr>
    </w:p>
    <w:p w14:paraId="6BC13329" w14:textId="6DD48CD9" w:rsidR="009341C3" w:rsidRDefault="009341C3" w:rsidP="009341C3">
      <w:pPr>
        <w:widowControl/>
      </w:pPr>
    </w:p>
    <w:p w14:paraId="0E2C62D6" w14:textId="57D864E9" w:rsidR="009341C3" w:rsidRDefault="009341C3" w:rsidP="009341C3">
      <w:pPr>
        <w:widowControl/>
      </w:pPr>
    </w:p>
    <w:p w14:paraId="23A42F30" w14:textId="6CB31788" w:rsidR="009341C3" w:rsidRDefault="009341C3" w:rsidP="009341C3">
      <w:pPr>
        <w:widowControl/>
      </w:pPr>
    </w:p>
    <w:p w14:paraId="2D9AA71B" w14:textId="5B821F47" w:rsidR="009341C3" w:rsidRPr="009341C3" w:rsidRDefault="009341C3" w:rsidP="009341C3">
      <w:pPr>
        <w:widowControl/>
        <w:ind w:firstLine="2174"/>
        <w:jc w:val="center"/>
      </w:pPr>
      <w:r w:rsidRPr="009341C3">
        <w:t>Kimberly D. Bose,</w:t>
      </w:r>
    </w:p>
    <w:p w14:paraId="224B6708" w14:textId="77777777" w:rsidR="00574E95" w:rsidRDefault="009341C3" w:rsidP="009341C3">
      <w:pPr>
        <w:widowControl/>
        <w:ind w:firstLine="2174"/>
        <w:jc w:val="center"/>
        <w:sectPr w:rsidR="00574E95" w:rsidSect="007A6C6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start="1"/>
          <w:cols w:space="720"/>
          <w:titlePg/>
          <w:docGrid w:linePitch="360"/>
        </w:sectPr>
      </w:pPr>
      <w:r w:rsidRPr="009341C3">
        <w:t>Secretary.</w:t>
      </w:r>
    </w:p>
    <w:p w14:paraId="371B9EA9" w14:textId="77777777" w:rsidR="00574E95" w:rsidRPr="003F4882" w:rsidRDefault="00574E95" w:rsidP="001642F7">
      <w:pPr>
        <w:jc w:val="center"/>
      </w:pPr>
      <w:r w:rsidRPr="003F4882">
        <w:rPr>
          <w:b/>
        </w:rPr>
        <w:lastRenderedPageBreak/>
        <w:fldChar w:fldCharType="begin"/>
      </w:r>
      <w:r w:rsidRPr="003F4882">
        <w:rPr>
          <w:b/>
        </w:rPr>
        <w:instrText xml:space="preserve"> MACROBUTTON  AcceptAllChangesInDoc </w:instrText>
      </w:r>
      <w:r w:rsidRPr="003F4882">
        <w:rPr>
          <w:b/>
        </w:rPr>
        <w:fldChar w:fldCharType="end"/>
      </w:r>
      <w:r w:rsidRPr="003F4882">
        <w:t>UNITED STATES OF AMERICA</w:t>
      </w:r>
    </w:p>
    <w:p w14:paraId="39A27F01" w14:textId="77777777" w:rsidR="00574E95" w:rsidRPr="003F4882" w:rsidRDefault="00574E95" w:rsidP="001642F7">
      <w:pPr>
        <w:jc w:val="center"/>
      </w:pPr>
      <w:r w:rsidRPr="003F4882">
        <w:t>FEDERAL ENERGY REGULATORY COMMISSION</w:t>
      </w:r>
    </w:p>
    <w:p w14:paraId="29EF1963" w14:textId="77777777" w:rsidR="00574E95" w:rsidRPr="003F4882" w:rsidRDefault="00574E95" w:rsidP="00C22D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0"/>
        <w:gridCol w:w="1536"/>
        <w:gridCol w:w="1894"/>
      </w:tblGrid>
      <w:tr w:rsidR="00574E95" w:rsidRPr="003F4882" w14:paraId="0FEBC2D1" w14:textId="77777777" w:rsidTr="00475517">
        <w:tc>
          <w:tcPr>
            <w:tcW w:w="6088" w:type="dxa"/>
            <w:shd w:val="clear" w:color="auto" w:fill="auto"/>
          </w:tcPr>
          <w:p w14:paraId="54ADC481" w14:textId="77777777" w:rsidR="00574E95" w:rsidRPr="003F4882" w:rsidRDefault="00574E95" w:rsidP="00C326BE">
            <w:pPr>
              <w:widowControl/>
              <w:autoSpaceDE/>
              <w:autoSpaceDN/>
              <w:adjustRightInd/>
              <w:rPr>
                <w:rFonts w:eastAsiaTheme="minorHAnsi"/>
                <w:szCs w:val="22"/>
              </w:rPr>
            </w:pPr>
            <w:r w:rsidRPr="003F4882">
              <w:rPr>
                <w:rFonts w:eastAsiaTheme="minorHAnsi"/>
                <w:szCs w:val="22"/>
              </w:rPr>
              <w:t>Spire STL Pipeline LLC</w:t>
            </w:r>
          </w:p>
        </w:tc>
        <w:tc>
          <w:tcPr>
            <w:tcW w:w="1560" w:type="dxa"/>
            <w:shd w:val="clear" w:color="auto" w:fill="auto"/>
          </w:tcPr>
          <w:p w14:paraId="29586507" w14:textId="77777777" w:rsidR="00574E95" w:rsidRPr="003F4882" w:rsidRDefault="00574E95" w:rsidP="00475517">
            <w:pPr>
              <w:widowControl/>
              <w:autoSpaceDE/>
              <w:autoSpaceDN/>
              <w:adjustRightInd/>
              <w:jc w:val="right"/>
              <w:rPr>
                <w:rFonts w:eastAsiaTheme="minorHAnsi"/>
                <w:szCs w:val="22"/>
              </w:rPr>
            </w:pPr>
            <w:r w:rsidRPr="003F4882">
              <w:rPr>
                <w:rFonts w:eastAsiaTheme="minorHAnsi"/>
                <w:szCs w:val="22"/>
              </w:rPr>
              <w:t>Docket No.</w:t>
            </w:r>
          </w:p>
        </w:tc>
        <w:tc>
          <w:tcPr>
            <w:tcW w:w="1928" w:type="dxa"/>
            <w:shd w:val="clear" w:color="auto" w:fill="auto"/>
            <w:tcMar>
              <w:left w:w="144" w:type="dxa"/>
            </w:tcMar>
          </w:tcPr>
          <w:p w14:paraId="3F28810E" w14:textId="77777777" w:rsidR="00574E95" w:rsidRPr="003F4882" w:rsidRDefault="00574E95" w:rsidP="00C326BE">
            <w:pPr>
              <w:widowControl/>
              <w:autoSpaceDE/>
              <w:autoSpaceDN/>
              <w:adjustRightInd/>
              <w:rPr>
                <w:rFonts w:eastAsiaTheme="minorHAnsi"/>
                <w:szCs w:val="22"/>
              </w:rPr>
            </w:pPr>
            <w:r w:rsidRPr="003F4882">
              <w:rPr>
                <w:rFonts w:eastAsiaTheme="minorHAnsi"/>
                <w:szCs w:val="22"/>
              </w:rPr>
              <w:t>CP17-40-012</w:t>
            </w:r>
          </w:p>
        </w:tc>
      </w:tr>
    </w:tbl>
    <w:p w14:paraId="4F2D6417" w14:textId="77777777" w:rsidR="00574E95" w:rsidRPr="003F4882" w:rsidRDefault="00574E95" w:rsidP="00C22D8B">
      <w:pPr>
        <w:jc w:val="center"/>
      </w:pPr>
    </w:p>
    <w:p w14:paraId="1B659FBF" w14:textId="77777777" w:rsidR="00574E95" w:rsidRPr="003F4882" w:rsidRDefault="00574E95" w:rsidP="00C26B1C">
      <w:pPr>
        <w:jc w:val="center"/>
      </w:pPr>
      <w:r w:rsidRPr="003F4882">
        <w:t xml:space="preserve">(Issued </w:t>
      </w:r>
      <w:r w:rsidRPr="003F4882">
        <w:fldChar w:fldCharType="begin"/>
      </w:r>
      <w:r w:rsidRPr="003F4882">
        <w:instrText xml:space="preserve"> MACROBUTTON  AcceptAllChangesInDoc </w:instrText>
      </w:r>
      <w:r w:rsidRPr="003F4882">
        <w:fldChar w:fldCharType="end"/>
      </w:r>
      <w:r w:rsidRPr="003F4882">
        <w:t>February 17, 2022)</w:t>
      </w:r>
    </w:p>
    <w:p w14:paraId="24AE309D" w14:textId="77777777" w:rsidR="00574E95" w:rsidRPr="003F4882" w:rsidRDefault="00574E95" w:rsidP="00C22D8B">
      <w:pPr>
        <w:rPr>
          <w:bCs/>
        </w:rPr>
      </w:pPr>
    </w:p>
    <w:p w14:paraId="498BC2CA" w14:textId="77777777" w:rsidR="00574E95" w:rsidRPr="003F4882" w:rsidRDefault="00574E95" w:rsidP="00C22D8B">
      <w:pPr>
        <w:rPr>
          <w:bCs/>
        </w:rPr>
      </w:pPr>
      <w:bookmarkStart w:id="2" w:name="Commissioner"/>
      <w:bookmarkEnd w:id="2"/>
      <w:r w:rsidRPr="003F4882">
        <w:rPr>
          <w:bCs/>
        </w:rPr>
        <w:t xml:space="preserve">DANLY, Commissioner, </w:t>
      </w:r>
      <w:r w:rsidRPr="003F4882">
        <w:rPr>
          <w:bCs/>
          <w:i/>
        </w:rPr>
        <w:t>concurring in part and dissenting in part</w:t>
      </w:r>
      <w:r w:rsidRPr="003F4882">
        <w:rPr>
          <w:bCs/>
        </w:rPr>
        <w:t>:</w:t>
      </w:r>
      <w:bookmarkStart w:id="3" w:name="Action1"/>
      <w:bookmarkEnd w:id="3"/>
    </w:p>
    <w:p w14:paraId="11BC8B5D" w14:textId="77777777" w:rsidR="00574E95" w:rsidRPr="003F4882" w:rsidRDefault="00574E95" w:rsidP="00C22D8B">
      <w:pPr>
        <w:rPr>
          <w:bCs/>
        </w:rPr>
      </w:pPr>
    </w:p>
    <w:p w14:paraId="093B294F" w14:textId="77777777" w:rsidR="00574E95" w:rsidRPr="003F4882" w:rsidRDefault="00574E95" w:rsidP="00574E95">
      <w:pPr>
        <w:pStyle w:val="FERCparanumber"/>
        <w:numPr>
          <w:ilvl w:val="0"/>
          <w:numId w:val="30"/>
        </w:numPr>
        <w:spacing w:after="240"/>
      </w:pPr>
      <w:r w:rsidRPr="003F4882">
        <w:t xml:space="preserve">I concur in the Commission’s </w:t>
      </w:r>
      <w:r>
        <w:t>denial of the requested stay of</w:t>
      </w:r>
      <w:r w:rsidRPr="003F4882">
        <w:t xml:space="preserve"> </w:t>
      </w:r>
      <w:r>
        <w:t xml:space="preserve">Spire STL Pipeline LLC’s (Spire) </w:t>
      </w:r>
      <w:r w:rsidRPr="003F4882">
        <w:t>temporary certificate.  The Commission properly recognizes that it “would be inappropriate to have temporarily stayed the certificate pending rehearing”</w:t>
      </w:r>
      <w:r w:rsidRPr="003F4882">
        <w:rPr>
          <w:rStyle w:val="FootnoteReference"/>
        </w:rPr>
        <w:footnoteReference w:id="48"/>
      </w:r>
      <w:r w:rsidRPr="003F4882">
        <w:t xml:space="preserve"> and that “the Commission lacks authority to deny or restrict a certificate-holder’s exercise of </w:t>
      </w:r>
      <w:r>
        <w:t>the</w:t>
      </w:r>
      <w:r w:rsidRPr="003F4882">
        <w:t xml:space="preserve"> statutory right of eminent domain.”</w:t>
      </w:r>
      <w:r w:rsidRPr="003F4882">
        <w:rPr>
          <w:rStyle w:val="FootnoteReference"/>
        </w:rPr>
        <w:footnoteReference w:id="49"/>
      </w:r>
      <w:r w:rsidRPr="003F4882">
        <w:t xml:space="preserve">  I </w:t>
      </w:r>
      <w:r>
        <w:t xml:space="preserve">also </w:t>
      </w:r>
      <w:r w:rsidRPr="003F4882">
        <w:t xml:space="preserve">concur in the Commission’s </w:t>
      </w:r>
      <w:r>
        <w:t>decision</w:t>
      </w:r>
      <w:r w:rsidRPr="003F4882">
        <w:t xml:space="preserve"> </w:t>
      </w:r>
      <w:r>
        <w:t xml:space="preserve">to wait until the issuance of an order on remand </w:t>
      </w:r>
      <w:r w:rsidRPr="003F4882">
        <w:t xml:space="preserve">to address the questions raised in </w:t>
      </w:r>
      <w:r w:rsidRPr="00574E95">
        <w:rPr>
          <w:i/>
          <w:iCs/>
        </w:rPr>
        <w:t>Environmental Defense Fund v. FERC</w:t>
      </w:r>
      <w:r w:rsidRPr="003F4882">
        <w:t>,</w:t>
      </w:r>
      <w:r w:rsidRPr="003F4882">
        <w:rPr>
          <w:rStyle w:val="FootnoteReference"/>
        </w:rPr>
        <w:footnoteReference w:id="50"/>
      </w:r>
      <w:r w:rsidRPr="003F4882">
        <w:t xml:space="preserve"> including</w:t>
      </w:r>
      <w:r>
        <w:t xml:space="preserve"> the questions concerning </w:t>
      </w:r>
      <w:r w:rsidRPr="003F4882">
        <w:t>self-dealing.</w:t>
      </w:r>
      <w:r>
        <w:rPr>
          <w:rStyle w:val="FootnoteReference"/>
        </w:rPr>
        <w:footnoteReference w:id="51"/>
      </w:r>
    </w:p>
    <w:p w14:paraId="3DAC69DB" w14:textId="77777777" w:rsidR="00574E95" w:rsidRDefault="00574E95" w:rsidP="00574E95">
      <w:pPr>
        <w:pStyle w:val="FERCparanumber"/>
        <w:spacing w:after="240"/>
      </w:pPr>
      <w:r w:rsidRPr="003F4882">
        <w:lastRenderedPageBreak/>
        <w:t>I dissent</w:t>
      </w:r>
      <w:r>
        <w:t>, however,</w:t>
      </w:r>
      <w:r w:rsidRPr="003F4882">
        <w:t xml:space="preserve"> from the Commission’s decision to again</w:t>
      </w:r>
      <w:r w:rsidRPr="003F4882">
        <w:rPr>
          <w:rStyle w:val="FootnoteReference"/>
        </w:rPr>
        <w:footnoteReference w:id="52"/>
      </w:r>
      <w:r w:rsidRPr="003F4882">
        <w:t xml:space="preserve"> decline to </w:t>
      </w:r>
      <w:r>
        <w:t>take a position on</w:t>
      </w:r>
      <w:r w:rsidRPr="003F4882">
        <w:t xml:space="preserve"> whether</w:t>
      </w:r>
      <w:r>
        <w:t xml:space="preserve"> </w:t>
      </w:r>
      <w:r w:rsidRPr="003F4882">
        <w:t>N</w:t>
      </w:r>
      <w:r>
        <w:t xml:space="preserve">GA </w:t>
      </w:r>
      <w:r w:rsidRPr="003F4882">
        <w:t>section 7(h)</w:t>
      </w:r>
      <w:r w:rsidRPr="003F4882">
        <w:rPr>
          <w:rStyle w:val="FootnoteReference"/>
        </w:rPr>
        <w:footnoteReference w:id="53"/>
      </w:r>
      <w:r w:rsidRPr="003F4882">
        <w:t xml:space="preserve"> confers eminent domain authority on </w:t>
      </w:r>
      <w:r>
        <w:t>the</w:t>
      </w:r>
      <w:r w:rsidRPr="003F4882">
        <w:t xml:space="preserve"> holder of</w:t>
      </w:r>
      <w:r w:rsidRPr="003F4882" w:rsidDel="002D24A3">
        <w:t xml:space="preserve"> a temporary certificate </w:t>
      </w:r>
      <w:r w:rsidRPr="003F4882">
        <w:t xml:space="preserve">issued </w:t>
      </w:r>
      <w:r>
        <w:t xml:space="preserve">under </w:t>
      </w:r>
      <w:r w:rsidRPr="003F4882">
        <w:t>NGA section 7(c)(1)(B).</w:t>
      </w:r>
      <w:r w:rsidRPr="003F4882">
        <w:rPr>
          <w:rStyle w:val="FootnoteReference"/>
        </w:rPr>
        <w:footnoteReference w:id="54"/>
      </w:r>
      <w:r w:rsidRPr="003F4882">
        <w:t xml:space="preserve">  </w:t>
      </w:r>
      <w:r>
        <w:t>This question is different from the issues more amenable to disposition in our order on remand because it concerns the rights of Spire as a current holder of a temporary certificate, i.e., whether such a certificate confers upon its holder the right to exercise eminent domain under NGA section 7(h).  This question is ready to be decided.  In fact, today’s order acknowledges</w:t>
      </w:r>
      <w:r w:rsidRPr="003F4882">
        <w:t xml:space="preserve"> two recent federal district court cases </w:t>
      </w:r>
      <w:r>
        <w:t xml:space="preserve">holding </w:t>
      </w:r>
      <w:r w:rsidRPr="003F4882">
        <w:t xml:space="preserve">that temporary certificates </w:t>
      </w:r>
      <w:r>
        <w:t xml:space="preserve">do </w:t>
      </w:r>
      <w:r w:rsidRPr="003F4882">
        <w:t>confer eminent domain authority.</w:t>
      </w:r>
      <w:r w:rsidRPr="003F4882">
        <w:rPr>
          <w:rStyle w:val="FootnoteReference"/>
        </w:rPr>
        <w:footnoteReference w:id="55"/>
      </w:r>
    </w:p>
    <w:p w14:paraId="1A65CC34" w14:textId="77777777" w:rsidR="00574E95" w:rsidRDefault="00574E95" w:rsidP="00574E95">
      <w:pPr>
        <w:pStyle w:val="FERCparanumber"/>
        <w:spacing w:after="240"/>
      </w:pPr>
      <w:r>
        <w:t>T</w:t>
      </w:r>
      <w:r w:rsidRPr="003F4882">
        <w:t xml:space="preserve">he Commission is well-situated to </w:t>
      </w:r>
      <w:r>
        <w:t xml:space="preserve">speak in the first instance on </w:t>
      </w:r>
      <w:r w:rsidRPr="003F4882">
        <w:t xml:space="preserve">the rights enjoyed by </w:t>
      </w:r>
      <w:r>
        <w:t>a</w:t>
      </w:r>
      <w:r w:rsidRPr="003F4882">
        <w:t xml:space="preserve"> </w:t>
      </w:r>
      <w:r>
        <w:t xml:space="preserve">temporary certificate </w:t>
      </w:r>
      <w:r w:rsidRPr="003F4882">
        <w:t>holder under the statute that we administer</w:t>
      </w:r>
      <w:r>
        <w:t>.  This question need not be left to others to decide</w:t>
      </w:r>
      <w:r w:rsidRPr="003F4882">
        <w:t xml:space="preserve">.  </w:t>
      </w:r>
      <w:r>
        <w:t>Requiring</w:t>
      </w:r>
      <w:r w:rsidRPr="003F4882">
        <w:t xml:space="preserve"> the parties to go to court in order to learn whether NGA section 7(h) confers eminent domain authority is irresponsible and </w:t>
      </w:r>
      <w:r w:rsidRPr="003F4882">
        <w:lastRenderedPageBreak/>
        <w:t>unnecessary.</w:t>
      </w:r>
      <w:r w:rsidRPr="003F4882">
        <w:rPr>
          <w:rStyle w:val="FootnoteReference"/>
        </w:rPr>
        <w:footnoteReference w:id="56"/>
      </w:r>
      <w:r w:rsidRPr="003F4882">
        <w:t xml:space="preserve">  </w:t>
      </w:r>
      <w:r>
        <w:t xml:space="preserve">To leave this issue to the courts is to deprive both the courts </w:t>
      </w:r>
      <w:r>
        <w:rPr>
          <w:i/>
          <w:iCs/>
        </w:rPr>
        <w:t xml:space="preserve">and </w:t>
      </w:r>
      <w:r>
        <w:t xml:space="preserve">the litigants the benefit of a pronouncement by the Commission—regardless of how the Commission comes out on the matter—and the reasoned decision making required to support that pronouncement.  </w:t>
      </w:r>
      <w:r w:rsidRPr="003F4882">
        <w:t>The Commission implements NGA section 7 and some degree of deference is owed to the Commission’s reasonable interpretation of section 7(h).</w:t>
      </w:r>
      <w:r w:rsidRPr="003F4882">
        <w:rPr>
          <w:rStyle w:val="FootnoteReference"/>
        </w:rPr>
        <w:footnoteReference w:id="57"/>
      </w:r>
      <w:r w:rsidRPr="003F4882">
        <w:t xml:space="preserve">  </w:t>
      </w:r>
      <w:r>
        <w:t>At the very least, I expect the courts would be attentive to our thoughts on the matter.</w:t>
      </w:r>
    </w:p>
    <w:p w14:paraId="4E57B1F8" w14:textId="77777777" w:rsidR="00574E95" w:rsidRPr="003F4882" w:rsidRDefault="00574E95" w:rsidP="00574E95">
      <w:pPr>
        <w:pStyle w:val="FERCparanumber"/>
        <w:spacing w:after="240"/>
      </w:pPr>
      <w:r>
        <w:t xml:space="preserve">The landowners and the </w:t>
      </w:r>
      <w:proofErr w:type="spellStart"/>
      <w:r>
        <w:t>Niskanen</w:t>
      </w:r>
      <w:proofErr w:type="spellEnd"/>
      <w:r>
        <w:t xml:space="preserve"> Center are correct:  in </w:t>
      </w:r>
      <w:r w:rsidRPr="003F4882">
        <w:t>declining to interpret NGA section 7(h), the Commission has</w:t>
      </w:r>
      <w:r>
        <w:t xml:space="preserve"> </w:t>
      </w:r>
      <w:r w:rsidRPr="003F4882">
        <w:t>once again “stuck its head in the sand.”</w:t>
      </w:r>
      <w:r w:rsidRPr="003F4882">
        <w:rPr>
          <w:rStyle w:val="FootnoteReference"/>
        </w:rPr>
        <w:footnoteReference w:id="58"/>
      </w:r>
    </w:p>
    <w:p w14:paraId="15535116" w14:textId="77777777" w:rsidR="00574E95" w:rsidRPr="003F4882" w:rsidRDefault="00574E95" w:rsidP="00527B69">
      <w:pPr>
        <w:ind w:firstLine="720"/>
      </w:pPr>
      <w:bookmarkStart w:id="4" w:name="Action2"/>
      <w:bookmarkEnd w:id="4"/>
      <w:r w:rsidRPr="003F4882">
        <w:t>For these reasons, I respectfully concur in part and dissent in part.</w:t>
      </w:r>
    </w:p>
    <w:p w14:paraId="385A723D" w14:textId="77777777" w:rsidR="00574E95" w:rsidRPr="003F4882" w:rsidRDefault="00574E95" w:rsidP="00527B69">
      <w:pPr>
        <w:ind w:firstLine="720"/>
      </w:pPr>
    </w:p>
    <w:p w14:paraId="00DD5F50" w14:textId="77777777" w:rsidR="00574E95" w:rsidRPr="003F4882" w:rsidRDefault="00574E95" w:rsidP="00475517"/>
    <w:p w14:paraId="479E28AC" w14:textId="77777777" w:rsidR="00574E95" w:rsidRDefault="00574E95" w:rsidP="00475517"/>
    <w:p w14:paraId="198B3990" w14:textId="77777777" w:rsidR="00574E95" w:rsidRPr="003F4882" w:rsidRDefault="00574E95" w:rsidP="00475517"/>
    <w:p w14:paraId="0D2BF78C" w14:textId="77777777" w:rsidR="00574E95" w:rsidRPr="003F4882" w:rsidRDefault="00574E95" w:rsidP="00475517">
      <w:r w:rsidRPr="003F4882">
        <w:t>________________________</w:t>
      </w:r>
    </w:p>
    <w:p w14:paraId="6AC46C1B" w14:textId="77777777" w:rsidR="00574E95" w:rsidRPr="003F4882" w:rsidRDefault="00574E95" w:rsidP="00475517">
      <w:r w:rsidRPr="003F4882">
        <w:t>James P. Danly</w:t>
      </w:r>
    </w:p>
    <w:p w14:paraId="0C743522" w14:textId="77777777" w:rsidR="00574E95" w:rsidRPr="003F4882" w:rsidRDefault="00574E95" w:rsidP="00475517">
      <w:r w:rsidRPr="003F4882">
        <w:t>Commissioner</w:t>
      </w:r>
    </w:p>
    <w:p w14:paraId="61270D6D" w14:textId="77777777" w:rsidR="00574E95" w:rsidRPr="003F4882" w:rsidRDefault="00574E95" w:rsidP="00BD4EB9"/>
    <w:p w14:paraId="323AF1A7" w14:textId="77777777" w:rsidR="00574E95" w:rsidRPr="003F4882" w:rsidRDefault="00574E95" w:rsidP="00BD4EB9"/>
    <w:p w14:paraId="1A557274" w14:textId="77777777" w:rsidR="00574E95" w:rsidRPr="003F4882" w:rsidRDefault="00574E95" w:rsidP="00BD4EB9"/>
    <w:p w14:paraId="5B149D5D" w14:textId="77777777" w:rsidR="00574E95" w:rsidRPr="003F4882" w:rsidRDefault="00574E95" w:rsidP="008B654D"/>
    <w:p w14:paraId="050518BE" w14:textId="75358C11" w:rsidR="009341C3" w:rsidRPr="009341C3" w:rsidRDefault="009341C3" w:rsidP="009341C3">
      <w:pPr>
        <w:widowControl/>
        <w:ind w:firstLine="2174"/>
        <w:jc w:val="center"/>
      </w:pPr>
    </w:p>
    <w:p w14:paraId="30B99B28" w14:textId="77777777" w:rsidR="009341C3" w:rsidRPr="0003382F" w:rsidRDefault="009341C3" w:rsidP="009341C3">
      <w:pPr>
        <w:widowControl/>
      </w:pPr>
    </w:p>
    <w:sectPr w:rsidR="009341C3" w:rsidRPr="0003382F" w:rsidSect="007A6C67">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E15B7" w14:textId="77777777" w:rsidR="005F79B0" w:rsidRDefault="005F79B0" w:rsidP="0048020B">
      <w:r>
        <w:separator/>
      </w:r>
    </w:p>
  </w:endnote>
  <w:endnote w:type="continuationSeparator" w:id="0">
    <w:p w14:paraId="2E1C44B5" w14:textId="77777777" w:rsidR="005F79B0" w:rsidRDefault="005F79B0" w:rsidP="0048020B">
      <w:r>
        <w:continuationSeparator/>
      </w:r>
    </w:p>
  </w:endnote>
  <w:endnote w:type="continuationNotice" w:id="1">
    <w:p w14:paraId="35BF74FF" w14:textId="77777777" w:rsidR="005F79B0" w:rsidRDefault="005F7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DF040" w14:textId="77777777" w:rsidR="00574E95" w:rsidRDefault="00574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F7DB9" w14:textId="77777777" w:rsidR="00574E95" w:rsidRDefault="00574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EE068" w14:textId="77777777" w:rsidR="00574E95" w:rsidRDefault="00574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3D09B" w14:textId="77777777" w:rsidR="005F79B0" w:rsidRDefault="005F79B0" w:rsidP="0048020B">
      <w:r>
        <w:separator/>
      </w:r>
    </w:p>
  </w:footnote>
  <w:footnote w:type="continuationSeparator" w:id="0">
    <w:p w14:paraId="0E071E9C" w14:textId="77777777" w:rsidR="005F79B0" w:rsidRDefault="005F79B0" w:rsidP="0048020B">
      <w:r>
        <w:continuationSeparator/>
      </w:r>
    </w:p>
  </w:footnote>
  <w:footnote w:type="continuationNotice" w:id="1">
    <w:p w14:paraId="7949D0D1" w14:textId="77777777" w:rsidR="005F79B0" w:rsidRPr="00F57D41" w:rsidRDefault="005F79B0" w:rsidP="00F57D41">
      <w:pPr>
        <w:spacing w:line="14" w:lineRule="exact"/>
        <w:rPr>
          <w:sz w:val="2"/>
        </w:rPr>
      </w:pPr>
    </w:p>
  </w:footnote>
  <w:footnote w:id="2">
    <w:p w14:paraId="54231EE8" w14:textId="77777777" w:rsidR="005F79B0" w:rsidRDefault="005F79B0" w:rsidP="00E8227B">
      <w:pPr>
        <w:pStyle w:val="FootnoteText"/>
      </w:pPr>
      <w:r>
        <w:rPr>
          <w:rStyle w:val="FootnoteReference"/>
        </w:rPr>
        <w:footnoteRef/>
      </w:r>
      <w:r>
        <w:t xml:space="preserve"> </w:t>
      </w:r>
      <w:r w:rsidRPr="00E824A6">
        <w:t>15 U.S.C. § 717f</w:t>
      </w:r>
      <w:r>
        <w:t>(c)(1)(B)</w:t>
      </w:r>
      <w:r w:rsidRPr="00E824A6">
        <w:t>.</w:t>
      </w:r>
    </w:p>
  </w:footnote>
  <w:footnote w:id="3">
    <w:p w14:paraId="77606185" w14:textId="033A1A81" w:rsidR="005F79B0" w:rsidRDefault="005F79B0" w:rsidP="002D24A3">
      <w:pPr>
        <w:pStyle w:val="FootnoteText"/>
      </w:pPr>
      <w:r>
        <w:rPr>
          <w:rStyle w:val="FootnoteReference"/>
        </w:rPr>
        <w:footnoteRef/>
      </w:r>
      <w:r>
        <w:t xml:space="preserve"> </w:t>
      </w:r>
      <w:r w:rsidRPr="0079271A">
        <w:rPr>
          <w:i/>
          <w:iCs/>
        </w:rPr>
        <w:t>Spire STL Pipeline LLC</w:t>
      </w:r>
      <w:r>
        <w:t>, 177 FERC ¶ 61,147 (2021) (Temporary Certificate Order).</w:t>
      </w:r>
    </w:p>
  </w:footnote>
  <w:footnote w:id="4">
    <w:p w14:paraId="16E5EAD5" w14:textId="77777777" w:rsidR="005F79B0" w:rsidRDefault="005F79B0" w:rsidP="002D24A3">
      <w:pPr>
        <w:pStyle w:val="FootnoteText"/>
      </w:pPr>
      <w:r>
        <w:rPr>
          <w:rStyle w:val="FootnoteReference"/>
        </w:rPr>
        <w:footnoteRef/>
      </w:r>
      <w:r>
        <w:t xml:space="preserve"> </w:t>
      </w:r>
      <w:proofErr w:type="spellStart"/>
      <w:r>
        <w:t>Niskanen</w:t>
      </w:r>
      <w:proofErr w:type="spellEnd"/>
      <w:r>
        <w:t xml:space="preserve"> Center Dec. 17, 2021 Request for Rehearing (</w:t>
      </w:r>
      <w:proofErr w:type="spellStart"/>
      <w:r>
        <w:t>Niskanen</w:t>
      </w:r>
      <w:proofErr w:type="spellEnd"/>
      <w:r>
        <w:t xml:space="preserve"> Center Rehearing Request).</w:t>
      </w:r>
    </w:p>
  </w:footnote>
  <w:footnote w:id="5">
    <w:p w14:paraId="0D6EB05E" w14:textId="3CB8DB76" w:rsidR="005F79B0" w:rsidRDefault="005F79B0" w:rsidP="002D24A3">
      <w:pPr>
        <w:pStyle w:val="FootnoteText"/>
      </w:pPr>
      <w:r>
        <w:rPr>
          <w:rStyle w:val="FootnoteReference"/>
        </w:rPr>
        <w:footnoteRef/>
      </w:r>
      <w:r>
        <w:t xml:space="preserve"> Environmental Defense Fund Jan. 3, 2022 Request for Rehearing</w:t>
      </w:r>
      <w:r w:rsidR="009341C3">
        <w:t xml:space="preserve">               </w:t>
      </w:r>
      <w:proofErr w:type="gramStart"/>
      <w:r w:rsidR="009341C3">
        <w:t xml:space="preserve">  </w:t>
      </w:r>
      <w:r>
        <w:t xml:space="preserve"> (</w:t>
      </w:r>
      <w:proofErr w:type="gramEnd"/>
      <w:r>
        <w:t>EDF Rehearing Request).</w:t>
      </w:r>
    </w:p>
  </w:footnote>
  <w:footnote w:id="6">
    <w:p w14:paraId="6A70C875" w14:textId="77777777" w:rsidR="005F79B0" w:rsidRPr="00BB1EB3" w:rsidRDefault="005F79B0" w:rsidP="002D24A3">
      <w:pPr>
        <w:pStyle w:val="FootnoteText"/>
        <w:rPr>
          <w:szCs w:val="26"/>
        </w:rPr>
      </w:pPr>
      <w:r w:rsidRPr="00BB1EB3">
        <w:rPr>
          <w:rStyle w:val="FootnoteReference"/>
          <w:szCs w:val="26"/>
        </w:rPr>
        <w:footnoteRef/>
      </w:r>
      <w:r>
        <w:rPr>
          <w:szCs w:val="26"/>
        </w:rPr>
        <w:t xml:space="preserve"> </w:t>
      </w:r>
      <w:r w:rsidRPr="00BB1EB3">
        <w:rPr>
          <w:szCs w:val="26"/>
        </w:rPr>
        <w:t>964 F.3d 1 (D.C. Cir. 2020) (</w:t>
      </w:r>
      <w:proofErr w:type="spellStart"/>
      <w:r w:rsidRPr="00BB1EB3">
        <w:rPr>
          <w:szCs w:val="26"/>
        </w:rPr>
        <w:t>en</w:t>
      </w:r>
      <w:proofErr w:type="spellEnd"/>
      <w:r w:rsidRPr="00BB1EB3">
        <w:rPr>
          <w:szCs w:val="26"/>
        </w:rPr>
        <w:t xml:space="preserve"> banc).  </w:t>
      </w:r>
    </w:p>
  </w:footnote>
  <w:footnote w:id="7">
    <w:p w14:paraId="03C72732" w14:textId="77777777" w:rsidR="005F79B0" w:rsidRPr="00BB1EB3" w:rsidRDefault="005F79B0" w:rsidP="002D24A3">
      <w:pPr>
        <w:pStyle w:val="FootnoteText"/>
        <w:rPr>
          <w:szCs w:val="26"/>
        </w:rPr>
      </w:pPr>
      <w:r w:rsidRPr="00BB1EB3">
        <w:rPr>
          <w:rStyle w:val="FootnoteReference"/>
          <w:bCs/>
          <w:szCs w:val="26"/>
        </w:rPr>
        <w:footnoteRef/>
      </w:r>
      <w:r w:rsidRPr="00BB1EB3">
        <w:rPr>
          <w:szCs w:val="26"/>
        </w:rPr>
        <w:t xml:space="preserve"> 15 U.S.C. § 717r(a) (“Until the record in a proceeding shall have been filed in a court of appeals, as provided in subsection (b), the Commission may at any time, upon reasonable notice and in such manner as it shall deem proper, modify or set aside, in whole or in part, any finding or order made or issued by it under the provisions of this chapter.”).</w:t>
      </w:r>
    </w:p>
  </w:footnote>
  <w:footnote w:id="8">
    <w:p w14:paraId="31E95338" w14:textId="0FCF821F" w:rsidR="005F79B0" w:rsidRDefault="005F79B0">
      <w:pPr>
        <w:pStyle w:val="FootnoteText"/>
      </w:pPr>
      <w:r w:rsidRPr="00BB1EB3">
        <w:rPr>
          <w:rStyle w:val="FootnoteReference"/>
          <w:szCs w:val="26"/>
        </w:rPr>
        <w:footnoteRef/>
      </w:r>
      <w:r w:rsidRPr="00BB1EB3">
        <w:rPr>
          <w:szCs w:val="26"/>
        </w:rPr>
        <w:t xml:space="preserve"> </w:t>
      </w:r>
      <w:r w:rsidRPr="00BB1EB3">
        <w:rPr>
          <w:i/>
          <w:iCs/>
          <w:szCs w:val="26"/>
        </w:rPr>
        <w:t>Allegheny Def. Project</w:t>
      </w:r>
      <w:r w:rsidRPr="00BB1EB3">
        <w:rPr>
          <w:szCs w:val="26"/>
        </w:rPr>
        <w:t>, 964 F.3d at 16-17.</w:t>
      </w:r>
      <w:r w:rsidRPr="005A129F">
        <w:rPr>
          <w:szCs w:val="26"/>
        </w:rPr>
        <w:t xml:space="preserve">  </w:t>
      </w:r>
      <w:r w:rsidRPr="00792A34">
        <w:rPr>
          <w:szCs w:val="26"/>
        </w:rPr>
        <w:t xml:space="preserve">The Commission is not changing the outcome of the </w:t>
      </w:r>
      <w:r>
        <w:rPr>
          <w:szCs w:val="26"/>
        </w:rPr>
        <w:t xml:space="preserve">Temporary Certificate </w:t>
      </w:r>
      <w:r w:rsidRPr="00792A34">
        <w:rPr>
          <w:szCs w:val="26"/>
        </w:rPr>
        <w:t xml:space="preserve">Order.  </w:t>
      </w:r>
      <w:r w:rsidRPr="00792A34">
        <w:rPr>
          <w:i/>
          <w:iCs/>
          <w:szCs w:val="26"/>
        </w:rPr>
        <w:t xml:space="preserve">See Smith Lake Improvement &amp; Stakeholders </w:t>
      </w:r>
      <w:proofErr w:type="spellStart"/>
      <w:r w:rsidRPr="00792A34">
        <w:rPr>
          <w:i/>
          <w:iCs/>
          <w:szCs w:val="26"/>
        </w:rPr>
        <w:t>Ass’n</w:t>
      </w:r>
      <w:proofErr w:type="spellEnd"/>
      <w:r w:rsidRPr="00792A34">
        <w:rPr>
          <w:i/>
          <w:iCs/>
          <w:szCs w:val="26"/>
        </w:rPr>
        <w:t xml:space="preserve"> v. FERC</w:t>
      </w:r>
      <w:r w:rsidRPr="00792A34">
        <w:rPr>
          <w:szCs w:val="26"/>
        </w:rPr>
        <w:t>, 809 F.3d 55, 56-57 (D.C. Cir. 2015)</w:t>
      </w:r>
      <w:r>
        <w:t>.</w:t>
      </w:r>
    </w:p>
  </w:footnote>
  <w:footnote w:id="9">
    <w:p w14:paraId="7C905CDA" w14:textId="77777777" w:rsidR="005F79B0" w:rsidRDefault="005F79B0">
      <w:pPr>
        <w:pStyle w:val="FootnoteText"/>
      </w:pPr>
      <w:r>
        <w:rPr>
          <w:rStyle w:val="FootnoteReference"/>
        </w:rPr>
        <w:footnoteRef/>
      </w:r>
      <w:r>
        <w:t xml:space="preserve"> </w:t>
      </w:r>
      <w:r w:rsidRPr="00605729">
        <w:t>On November 14, 2019, the Spire STL Pipeline entered service during pendency of the appeal</w:t>
      </w:r>
      <w:r>
        <w:t>.</w:t>
      </w:r>
    </w:p>
  </w:footnote>
  <w:footnote w:id="10">
    <w:p w14:paraId="2C96B595" w14:textId="79051A54" w:rsidR="005F79B0" w:rsidRDefault="005F79B0" w:rsidP="002D24A3">
      <w:pPr>
        <w:pStyle w:val="FootnoteText"/>
      </w:pPr>
      <w:r>
        <w:rPr>
          <w:rStyle w:val="FootnoteReference"/>
        </w:rPr>
        <w:footnoteRef/>
      </w:r>
      <w:r>
        <w:t xml:space="preserve"> </w:t>
      </w:r>
      <w:r w:rsidRPr="00821F39">
        <w:rPr>
          <w:i/>
          <w:iCs/>
        </w:rPr>
        <w:t>See</w:t>
      </w:r>
      <w:r>
        <w:t xml:space="preserve"> </w:t>
      </w:r>
      <w:r w:rsidRPr="00821F39">
        <w:rPr>
          <w:i/>
          <w:iCs/>
        </w:rPr>
        <w:t>Spire STL Pipeline LLC</w:t>
      </w:r>
      <w:r w:rsidRPr="00821F39">
        <w:t>, 164 FERC ¶ 61,085 (2018)</w:t>
      </w:r>
      <w:r>
        <w:t xml:space="preserve"> (Certificate Order), </w:t>
      </w:r>
      <w:r>
        <w:rPr>
          <w:i/>
          <w:iCs/>
        </w:rPr>
        <w:t>order on reh’g</w:t>
      </w:r>
      <w:r>
        <w:t>,</w:t>
      </w:r>
      <w:r w:rsidRPr="00821F39">
        <w:t xml:space="preserve"> 169</w:t>
      </w:r>
      <w:r>
        <w:t> </w:t>
      </w:r>
      <w:r w:rsidRPr="00821F39">
        <w:t>FERC ¶</w:t>
      </w:r>
      <w:r>
        <w:t> </w:t>
      </w:r>
      <w:r w:rsidRPr="00821F39">
        <w:t>61,134 (2019)</w:t>
      </w:r>
      <w:r>
        <w:t xml:space="preserve">, </w:t>
      </w:r>
      <w:r w:rsidRPr="00821F39">
        <w:rPr>
          <w:i/>
          <w:iCs/>
        </w:rPr>
        <w:t xml:space="preserve">vacated </w:t>
      </w:r>
      <w:r>
        <w:rPr>
          <w:i/>
          <w:iCs/>
        </w:rPr>
        <w:t>sub nom.</w:t>
      </w:r>
      <w:r w:rsidRPr="00821F39">
        <w:rPr>
          <w:i/>
          <w:iCs/>
        </w:rPr>
        <w:t xml:space="preserve"> </w:t>
      </w:r>
      <w:proofErr w:type="spellStart"/>
      <w:r w:rsidRPr="00701188">
        <w:rPr>
          <w:i/>
          <w:iCs/>
        </w:rPr>
        <w:t>Env</w:t>
      </w:r>
      <w:r>
        <w:rPr>
          <w:i/>
          <w:iCs/>
        </w:rPr>
        <w:t>t’</w:t>
      </w:r>
      <w:r w:rsidRPr="00701188">
        <w:rPr>
          <w:i/>
          <w:iCs/>
        </w:rPr>
        <w:t>l</w:t>
      </w:r>
      <w:proofErr w:type="spellEnd"/>
      <w:r w:rsidRPr="00701188">
        <w:rPr>
          <w:i/>
          <w:iCs/>
        </w:rPr>
        <w:t xml:space="preserve"> Def</w:t>
      </w:r>
      <w:r>
        <w:rPr>
          <w:i/>
          <w:iCs/>
        </w:rPr>
        <w:t>.</w:t>
      </w:r>
      <w:r w:rsidRPr="00701188">
        <w:rPr>
          <w:i/>
          <w:iCs/>
        </w:rPr>
        <w:t xml:space="preserve"> Fund</w:t>
      </w:r>
      <w:r>
        <w:rPr>
          <w:i/>
          <w:iCs/>
        </w:rPr>
        <w:t> </w:t>
      </w:r>
      <w:r w:rsidRPr="00701188">
        <w:rPr>
          <w:i/>
          <w:iCs/>
        </w:rPr>
        <w:t>v. FERC</w:t>
      </w:r>
      <w:r w:rsidRPr="00701188">
        <w:t>, 2</w:t>
      </w:r>
      <w:r>
        <w:t> </w:t>
      </w:r>
      <w:r w:rsidRPr="00701188">
        <w:t>F.4th 953 (D.C. Cir 2021)</w:t>
      </w:r>
      <w:r>
        <w:t>.</w:t>
      </w:r>
    </w:p>
  </w:footnote>
  <w:footnote w:id="11">
    <w:p w14:paraId="50A670A0" w14:textId="77777777" w:rsidR="005F79B0" w:rsidRDefault="005F79B0" w:rsidP="00E8227B">
      <w:pPr>
        <w:pStyle w:val="FootnoteText"/>
      </w:pPr>
      <w:r>
        <w:rPr>
          <w:rStyle w:val="FootnoteReference"/>
        </w:rPr>
        <w:footnoteRef/>
      </w:r>
      <w:r>
        <w:t xml:space="preserve"> </w:t>
      </w:r>
      <w:r w:rsidRPr="00E824A6">
        <w:t>15 U.S.C. § 717f</w:t>
      </w:r>
      <w:r>
        <w:t>(c)(1)(B)</w:t>
      </w:r>
      <w:r w:rsidRPr="00E824A6">
        <w:t>.</w:t>
      </w:r>
    </w:p>
  </w:footnote>
  <w:footnote w:id="12">
    <w:p w14:paraId="7E4AA826" w14:textId="53D004D2" w:rsidR="005F79B0" w:rsidRDefault="005F79B0">
      <w:pPr>
        <w:pStyle w:val="FootnoteText"/>
      </w:pPr>
      <w:r>
        <w:rPr>
          <w:rStyle w:val="FootnoteReference"/>
        </w:rPr>
        <w:footnoteRef/>
      </w:r>
      <w:r>
        <w:rPr>
          <w:i/>
          <w:iCs/>
        </w:rPr>
        <w:t xml:space="preserve">Id. </w:t>
      </w:r>
      <w:r>
        <w:t>(“the Commission may issue a temporary certificate in cases of emergency, to assure maintenance of adequate service or to serve particular customers, without notice or hearing, pending the determination of an application for a certificate ….”).</w:t>
      </w:r>
    </w:p>
  </w:footnote>
  <w:footnote w:id="13">
    <w:p w14:paraId="22EF2EF5" w14:textId="481D985B" w:rsidR="005F79B0" w:rsidRDefault="005F79B0">
      <w:pPr>
        <w:pStyle w:val="FootnoteText"/>
      </w:pPr>
      <w:r>
        <w:rPr>
          <w:rStyle w:val="FootnoteReference"/>
        </w:rPr>
        <w:footnoteRef/>
      </w:r>
      <w:r>
        <w:t xml:space="preserve"> </w:t>
      </w:r>
      <w:r w:rsidRPr="00821F39">
        <w:rPr>
          <w:i/>
          <w:iCs/>
        </w:rPr>
        <w:t>Spire STL Pipeline LLC</w:t>
      </w:r>
      <w:r w:rsidRPr="00821F39">
        <w:t xml:space="preserve">, </w:t>
      </w:r>
      <w:r>
        <w:t>176</w:t>
      </w:r>
      <w:r w:rsidRPr="00821F39">
        <w:t xml:space="preserve"> FERC ¶ 61,</w:t>
      </w:r>
      <w:r>
        <w:t>160</w:t>
      </w:r>
      <w:r w:rsidRPr="00821F39">
        <w:t xml:space="preserve"> (20</w:t>
      </w:r>
      <w:r>
        <w:t>21</w:t>
      </w:r>
      <w:r w:rsidRPr="00821F39">
        <w:t>)</w:t>
      </w:r>
      <w:r>
        <w:t xml:space="preserve"> (September 2021 Order);</w:t>
      </w:r>
      <w:r w:rsidRPr="009F4EC7">
        <w:rPr>
          <w:i/>
          <w:iCs/>
        </w:rPr>
        <w:t xml:space="preserve"> </w:t>
      </w:r>
      <w:r>
        <w:rPr>
          <w:i/>
          <w:iCs/>
        </w:rPr>
        <w:t>order on reh’g</w:t>
      </w:r>
      <w:r>
        <w:t>, 177 FERC ¶ 61,114 (2021) (November 2021 Order).</w:t>
      </w:r>
    </w:p>
  </w:footnote>
  <w:footnote w:id="14">
    <w:p w14:paraId="4B12039D" w14:textId="2855D31C" w:rsidR="005F79B0" w:rsidRDefault="005F79B0">
      <w:pPr>
        <w:pStyle w:val="FootnoteText"/>
      </w:pPr>
      <w:r>
        <w:rPr>
          <w:rStyle w:val="FootnoteReference"/>
        </w:rPr>
        <w:footnoteRef/>
      </w:r>
      <w:r>
        <w:t xml:space="preserve"> Temporary Certificate Order, 177 FERC ¶ 61,147.</w:t>
      </w:r>
    </w:p>
  </w:footnote>
  <w:footnote w:id="15">
    <w:p w14:paraId="3E7E6A58" w14:textId="46947371" w:rsidR="005F79B0" w:rsidRDefault="005F79B0">
      <w:pPr>
        <w:pStyle w:val="FootnoteText"/>
      </w:pPr>
      <w:r>
        <w:rPr>
          <w:rStyle w:val="FootnoteReference"/>
        </w:rPr>
        <w:footnoteRef/>
      </w:r>
      <w:r>
        <w:t xml:space="preserve"> </w:t>
      </w:r>
      <w:r>
        <w:rPr>
          <w:i/>
          <w:iCs/>
        </w:rPr>
        <w:t>Id.</w:t>
      </w:r>
      <w:r>
        <w:t xml:space="preserve"> at ordering paras. A, C.</w:t>
      </w:r>
    </w:p>
  </w:footnote>
  <w:footnote w:id="16">
    <w:p w14:paraId="18BCC956" w14:textId="77777777" w:rsidR="005F79B0" w:rsidRDefault="005F79B0">
      <w:pPr>
        <w:pStyle w:val="FootnoteText"/>
      </w:pPr>
      <w:r>
        <w:rPr>
          <w:rStyle w:val="FootnoteReference"/>
        </w:rPr>
        <w:footnoteRef/>
      </w:r>
      <w:r>
        <w:t xml:space="preserve"> </w:t>
      </w:r>
      <w:proofErr w:type="spellStart"/>
      <w:r>
        <w:t>Niskanen</w:t>
      </w:r>
      <w:proofErr w:type="spellEnd"/>
      <w:r>
        <w:t xml:space="preserve"> Center Rehearing Request at 1, 8-9.</w:t>
      </w:r>
    </w:p>
  </w:footnote>
  <w:footnote w:id="17">
    <w:p w14:paraId="41090417" w14:textId="17C87307" w:rsidR="005F79B0" w:rsidRDefault="005F79B0">
      <w:pPr>
        <w:pStyle w:val="FootnoteText"/>
      </w:pPr>
      <w:r>
        <w:rPr>
          <w:rStyle w:val="FootnoteReference"/>
        </w:rPr>
        <w:footnoteRef/>
      </w:r>
      <w:r>
        <w:t xml:space="preserve"> 15 U.S.C. § 717f(h).</w:t>
      </w:r>
    </w:p>
  </w:footnote>
  <w:footnote w:id="18">
    <w:p w14:paraId="639BCAA3" w14:textId="0E8FC419" w:rsidR="005F79B0" w:rsidRDefault="005F79B0" w:rsidP="00B45E59">
      <w:pPr>
        <w:pStyle w:val="FootnoteText"/>
      </w:pPr>
      <w:r>
        <w:rPr>
          <w:rStyle w:val="FootnoteReference"/>
        </w:rPr>
        <w:footnoteRef/>
      </w:r>
      <w:r>
        <w:t xml:space="preserve"> </w:t>
      </w:r>
      <w:proofErr w:type="spellStart"/>
      <w:r>
        <w:t>Niskanen</w:t>
      </w:r>
      <w:proofErr w:type="spellEnd"/>
      <w:r>
        <w:t xml:space="preserve"> Center Rehearing Request at 8.</w:t>
      </w:r>
    </w:p>
  </w:footnote>
  <w:footnote w:id="19">
    <w:p w14:paraId="622BE5C0" w14:textId="1E53C5C0" w:rsidR="005F79B0" w:rsidRDefault="005F79B0">
      <w:pPr>
        <w:pStyle w:val="FootnoteText"/>
      </w:pPr>
      <w:r>
        <w:rPr>
          <w:rStyle w:val="FootnoteReference"/>
        </w:rPr>
        <w:footnoteRef/>
      </w:r>
      <w:r>
        <w:t xml:space="preserve"> </w:t>
      </w:r>
      <w:r>
        <w:rPr>
          <w:i/>
          <w:iCs/>
        </w:rPr>
        <w:t>Id.</w:t>
      </w:r>
    </w:p>
  </w:footnote>
  <w:footnote w:id="20">
    <w:p w14:paraId="4FFB76D3" w14:textId="46DFA763" w:rsidR="005F79B0" w:rsidRDefault="005F79B0" w:rsidP="0099497D">
      <w:pPr>
        <w:pStyle w:val="FootnoteText"/>
      </w:pPr>
      <w:r>
        <w:rPr>
          <w:rStyle w:val="FootnoteReference"/>
        </w:rPr>
        <w:footnoteRef/>
      </w:r>
      <w:r>
        <w:t xml:space="preserve"> </w:t>
      </w:r>
      <w:r>
        <w:rPr>
          <w:i/>
          <w:iCs/>
        </w:rPr>
        <w:t>Id.</w:t>
      </w:r>
    </w:p>
  </w:footnote>
  <w:footnote w:id="21">
    <w:p w14:paraId="1178D2EB" w14:textId="0D254B99" w:rsidR="005F79B0" w:rsidRDefault="005F79B0">
      <w:pPr>
        <w:pStyle w:val="FootnoteText"/>
      </w:pPr>
      <w:r>
        <w:rPr>
          <w:rStyle w:val="FootnoteReference"/>
        </w:rPr>
        <w:footnoteRef/>
      </w:r>
      <w:r>
        <w:t xml:space="preserve"> </w:t>
      </w:r>
      <w:r>
        <w:rPr>
          <w:i/>
          <w:iCs/>
        </w:rPr>
        <w:t>Id.</w:t>
      </w:r>
    </w:p>
  </w:footnote>
  <w:footnote w:id="22">
    <w:p w14:paraId="7275E8B5" w14:textId="6AD1DCC2" w:rsidR="005F79B0" w:rsidRDefault="005F79B0">
      <w:pPr>
        <w:pStyle w:val="FootnoteText"/>
      </w:pPr>
      <w:r>
        <w:rPr>
          <w:rStyle w:val="FootnoteReference"/>
        </w:rPr>
        <w:footnoteRef/>
      </w:r>
      <w:r>
        <w:t xml:space="preserve"> </w:t>
      </w:r>
      <w:r>
        <w:rPr>
          <w:i/>
          <w:iCs/>
        </w:rPr>
        <w:t>Id.</w:t>
      </w:r>
      <w:r>
        <w:t xml:space="preserve"> at 9 (quoting </w:t>
      </w:r>
      <w:r w:rsidRPr="005475BE">
        <w:t>November 2021 Order, 177</w:t>
      </w:r>
      <w:r>
        <w:t> </w:t>
      </w:r>
      <w:r w:rsidRPr="005475BE">
        <w:t>FERC ¶</w:t>
      </w:r>
      <w:r>
        <w:t> </w:t>
      </w:r>
      <w:r w:rsidRPr="005475BE">
        <w:t>61,114</w:t>
      </w:r>
      <w:r>
        <w:t xml:space="preserve"> at P 8</w:t>
      </w:r>
      <w:r w:rsidRPr="005475BE">
        <w:t xml:space="preserve"> (Danly, Comm’r, dissenting)</w:t>
      </w:r>
      <w:r>
        <w:t xml:space="preserve"> (“To require the parties to go to court in order to learn whether NGA section 7(h) confers eminent domain authority upon temporary certificate holders is irresponsible and unnecessary.”)).</w:t>
      </w:r>
    </w:p>
  </w:footnote>
  <w:footnote w:id="23">
    <w:p w14:paraId="7F4ED378" w14:textId="252CD82D" w:rsidR="005F79B0" w:rsidRDefault="005F79B0">
      <w:pPr>
        <w:pStyle w:val="FootnoteText"/>
      </w:pPr>
      <w:r>
        <w:rPr>
          <w:rStyle w:val="FootnoteReference"/>
        </w:rPr>
        <w:footnoteRef/>
      </w:r>
      <w:r>
        <w:t xml:space="preserve"> Section 7(h) states that:</w:t>
      </w:r>
    </w:p>
    <w:p w14:paraId="3E8E4C92" w14:textId="28B85F09" w:rsidR="005F79B0" w:rsidRDefault="005F79B0" w:rsidP="00CA7069">
      <w:pPr>
        <w:spacing w:after="260"/>
        <w:ind w:left="1440" w:right="1440"/>
        <w:jc w:val="both"/>
      </w:pPr>
      <w:r w:rsidRPr="006F2BC3">
        <w:t>When any holder of a certificate of public convenience and necessity cannot acquire by contract, or is unable to agree with the owner of property to the compensation to be paid for, the necessary right-of-way to construct, operate, and maintain a pipe line or pipe lines for the transportation of natural gas, and the necessary land or other property, in addition to right-of-way, for the location of compressor stations, pressure apparatus, or other stations or equipment necessary to the proper operation of such pipe line or pipe lines, it may acquire the same by the exercise of the right of eminent domain in the district court of the United States for the district in which such property may be located, or in the State courts</w:t>
      </w:r>
      <w:r>
        <w:t>.</w:t>
      </w:r>
    </w:p>
    <w:p w14:paraId="763F5418" w14:textId="429E1439" w:rsidR="005F79B0" w:rsidRDefault="005F79B0" w:rsidP="007750CB">
      <w:pPr>
        <w:spacing w:after="260"/>
        <w:ind w:right="1440"/>
      </w:pPr>
      <w:r>
        <w:t>15 U.S.C. § 717f(h).</w:t>
      </w:r>
    </w:p>
  </w:footnote>
  <w:footnote w:id="24">
    <w:p w14:paraId="248724F3" w14:textId="7760B328" w:rsidR="005F79B0" w:rsidRDefault="005F79B0" w:rsidP="0018680E">
      <w:pPr>
        <w:pStyle w:val="FootnoteText"/>
      </w:pPr>
      <w:r>
        <w:rPr>
          <w:rStyle w:val="FootnoteReference"/>
        </w:rPr>
        <w:footnoteRef/>
      </w:r>
      <w:r>
        <w:t xml:space="preserve"> </w:t>
      </w:r>
      <w:r w:rsidRPr="005C7EE7">
        <w:rPr>
          <w:i/>
          <w:iCs/>
        </w:rPr>
        <w:t>E.g.</w:t>
      </w:r>
      <w:r w:rsidRPr="004A74FE">
        <w:t>,</w:t>
      </w:r>
      <w:r w:rsidRPr="005C7EE7">
        <w:rPr>
          <w:i/>
          <w:iCs/>
        </w:rPr>
        <w:t xml:space="preserve"> </w:t>
      </w:r>
      <w:proofErr w:type="spellStart"/>
      <w:r w:rsidRPr="005C7EE7">
        <w:rPr>
          <w:i/>
          <w:iCs/>
        </w:rPr>
        <w:t>Midcoast</w:t>
      </w:r>
      <w:proofErr w:type="spellEnd"/>
      <w:r w:rsidRPr="005C7EE7">
        <w:rPr>
          <w:i/>
          <w:iCs/>
        </w:rPr>
        <w:t xml:space="preserve"> Interstate Transmission, Inc. v. FERC</w:t>
      </w:r>
      <w:r w:rsidRPr="005C7EE7">
        <w:t xml:space="preserve">, 198 F.3d 960, 973 </w:t>
      </w:r>
      <w:r w:rsidR="009341C3">
        <w:t xml:space="preserve"> </w:t>
      </w:r>
      <w:proofErr w:type="gramStart"/>
      <w:r w:rsidR="009341C3">
        <w:t xml:space="preserve">   </w:t>
      </w:r>
      <w:r w:rsidRPr="005C7EE7">
        <w:t>(</w:t>
      </w:r>
      <w:proofErr w:type="gramEnd"/>
      <w:r w:rsidRPr="005C7EE7">
        <w:t>D.C. Cir. 2000) (“The Commission does not have the discretion to deny a certificate holder the power of eminent domain.” (</w:t>
      </w:r>
      <w:r>
        <w:t xml:space="preserve">internal </w:t>
      </w:r>
      <w:r w:rsidRPr="005C7EE7">
        <w:t>citation omitted))</w:t>
      </w:r>
      <w:r>
        <w:t xml:space="preserve">; </w:t>
      </w:r>
      <w:r w:rsidRPr="005C7EE7">
        <w:rPr>
          <w:i/>
          <w:iCs/>
        </w:rPr>
        <w:t>Twp. of Bordentown, N.J. v. FERC</w:t>
      </w:r>
      <w:r w:rsidRPr="005C7EE7">
        <w:t>, 903 F.3d 234, 265 (3d Cir. 2018) (stating that NGA section 7(h) “contains no condition precedent” to the right of eminent domain</w:t>
      </w:r>
      <w:r>
        <w:t>,</w:t>
      </w:r>
      <w:r w:rsidRPr="005C7EE7">
        <w:t xml:space="preserve"> other than issuance of the certificate</w:t>
      </w:r>
      <w:r>
        <w:t>,</w:t>
      </w:r>
      <w:r w:rsidRPr="005C7EE7">
        <w:t xml:space="preserve"> when a certificate holder is unable to acquire a right-of-way by contract); </w:t>
      </w:r>
      <w:r w:rsidRPr="00B45E59">
        <w:rPr>
          <w:i/>
          <w:iCs/>
        </w:rPr>
        <w:t>Berkley</w:t>
      </w:r>
      <w:r>
        <w:rPr>
          <w:i/>
          <w:iCs/>
        </w:rPr>
        <w:t xml:space="preserve"> v. Mountain Valley Pipeline, LLC</w:t>
      </w:r>
      <w:r w:rsidRPr="005C7EE7">
        <w:t xml:space="preserve">, 896 F.3d </w:t>
      </w:r>
      <w:r>
        <w:t>624,</w:t>
      </w:r>
      <w:r w:rsidRPr="005C7EE7">
        <w:t xml:space="preserve"> 628</w:t>
      </w:r>
      <w:r>
        <w:t xml:space="preserve"> (4th Cir. 2018)</w:t>
      </w:r>
      <w:r w:rsidRPr="005C7EE7">
        <w:t xml:space="preserve"> (“Issuing such a Certificate conveys and automatically transfers the power of eminent domain to the Certificate holder .... Thus, FERC does not have discretion to withhold eminent domain once it grants a Certificate.” (</w:t>
      </w:r>
      <w:r>
        <w:t xml:space="preserve">internal </w:t>
      </w:r>
      <w:r w:rsidRPr="005C7EE7">
        <w:t>citation omitted)).</w:t>
      </w:r>
    </w:p>
  </w:footnote>
  <w:footnote w:id="25">
    <w:p w14:paraId="4E77F2D1" w14:textId="25E2ABFB" w:rsidR="005F79B0" w:rsidRDefault="005F79B0" w:rsidP="00B12C71">
      <w:pPr>
        <w:pStyle w:val="FootnoteText"/>
      </w:pPr>
      <w:r>
        <w:rPr>
          <w:rStyle w:val="FootnoteReference"/>
        </w:rPr>
        <w:footnoteRef/>
      </w:r>
      <w:r>
        <w:t xml:space="preserve"> </w:t>
      </w:r>
      <w:r w:rsidRPr="00951E54">
        <w:rPr>
          <w:i/>
          <w:iCs/>
        </w:rPr>
        <w:t>See</w:t>
      </w:r>
      <w:r>
        <w:t xml:space="preserve"> Temporary Certificate Order, </w:t>
      </w:r>
      <w:r w:rsidRPr="00951E54">
        <w:t>177 FERC ¶ 61,147</w:t>
      </w:r>
      <w:r>
        <w:t xml:space="preserve"> at P 70; November 2021 Order,</w:t>
      </w:r>
      <w:r w:rsidRPr="00951E54">
        <w:t xml:space="preserve"> </w:t>
      </w:r>
      <w:r>
        <w:t>177 FERC ¶ 61,114 at P 10.</w:t>
      </w:r>
    </w:p>
  </w:footnote>
  <w:footnote w:id="26">
    <w:p w14:paraId="6AAB26B2" w14:textId="77777777" w:rsidR="005F79B0" w:rsidRDefault="005F79B0" w:rsidP="00B12C71">
      <w:pPr>
        <w:pStyle w:val="FootnoteText"/>
      </w:pPr>
      <w:r>
        <w:rPr>
          <w:rStyle w:val="FootnoteReference"/>
        </w:rPr>
        <w:footnoteRef/>
      </w:r>
      <w:r>
        <w:t xml:space="preserve"> </w:t>
      </w:r>
      <w:proofErr w:type="spellStart"/>
      <w:r>
        <w:t>Niskanen</w:t>
      </w:r>
      <w:proofErr w:type="spellEnd"/>
      <w:r>
        <w:t xml:space="preserve"> Center Rehearing Request at 9.</w:t>
      </w:r>
    </w:p>
  </w:footnote>
  <w:footnote w:id="27">
    <w:p w14:paraId="5C01694F" w14:textId="53DCCB12" w:rsidR="005F79B0" w:rsidRDefault="005F79B0">
      <w:pPr>
        <w:pStyle w:val="FootnoteText"/>
      </w:pPr>
      <w:r>
        <w:rPr>
          <w:rStyle w:val="FootnoteReference"/>
        </w:rPr>
        <w:footnoteRef/>
      </w:r>
      <w:r>
        <w:t xml:space="preserve"> Temporary Certificate Order, </w:t>
      </w:r>
      <w:r w:rsidRPr="00951E54">
        <w:t>177 FERC ¶ 61,147</w:t>
      </w:r>
      <w:r>
        <w:t xml:space="preserve"> at P 70 (noting the </w:t>
      </w:r>
      <w:proofErr w:type="gramStart"/>
      <w:r>
        <w:t>particular implementing</w:t>
      </w:r>
      <w:proofErr w:type="gramEnd"/>
      <w:r>
        <w:t xml:space="preserve"> role conferred on the courts under NGA section 7(h)).</w:t>
      </w:r>
    </w:p>
  </w:footnote>
  <w:footnote w:id="28">
    <w:p w14:paraId="360B81C4" w14:textId="3C93AEA3" w:rsidR="005F79B0" w:rsidRDefault="005F79B0" w:rsidP="004B1239">
      <w:pPr>
        <w:pStyle w:val="FootnoteText"/>
      </w:pPr>
      <w:r>
        <w:rPr>
          <w:rStyle w:val="FootnoteReference"/>
        </w:rPr>
        <w:footnoteRef/>
      </w:r>
      <w:r>
        <w:t xml:space="preserve"> No. 18-cv-03204, slip op. at *5-7 (C.D. Ill. Oct. 28, 2021) (denying </w:t>
      </w:r>
      <w:r w:rsidR="009341C3">
        <w:t xml:space="preserve">    </w:t>
      </w:r>
      <w:r>
        <w:t>defendant-landowners’ Motion to Dissolve Injunction and Dismiss Condemnation Action for Lack of Subject Matter Jurisdiction and upholding Spire’s authority to continue operating the Spire STL Pipeline through defendant-landowners’ properties based on and subject to the terms of the September 2021 Order).</w:t>
      </w:r>
    </w:p>
    <w:p w14:paraId="089F6AC6" w14:textId="66CFF350" w:rsidR="009341C3" w:rsidRDefault="009341C3" w:rsidP="004B1239">
      <w:pPr>
        <w:pStyle w:val="FootnoteText"/>
      </w:pPr>
    </w:p>
    <w:p w14:paraId="52B6258B" w14:textId="77777777" w:rsidR="009341C3" w:rsidRDefault="009341C3" w:rsidP="004B1239">
      <w:pPr>
        <w:pStyle w:val="FootnoteText"/>
      </w:pPr>
    </w:p>
  </w:footnote>
  <w:footnote w:id="29">
    <w:p w14:paraId="4E7D60EE" w14:textId="04F59B03" w:rsidR="005F79B0" w:rsidRDefault="005F79B0" w:rsidP="00DE304D">
      <w:pPr>
        <w:pStyle w:val="FootnoteText"/>
      </w:pPr>
      <w:r>
        <w:rPr>
          <w:rStyle w:val="FootnoteReference"/>
        </w:rPr>
        <w:footnoteRef/>
      </w:r>
      <w:r>
        <w:t xml:space="preserve"> No. 4:18 CV 1327 DDN, 2021 WL 5492897, at *3 (E.D. Mo. Nov. 23, 2021) (denying defendant-landowners’ motion to dismiss the condemnation action and dissolve the injunction and upholding Spire’s authority under the September 2021 Order).</w:t>
      </w:r>
    </w:p>
  </w:footnote>
  <w:footnote w:id="30">
    <w:p w14:paraId="06782AEA" w14:textId="6BA22B1B" w:rsidR="005F79B0" w:rsidRDefault="005F79B0">
      <w:pPr>
        <w:pStyle w:val="FootnoteText"/>
      </w:pPr>
      <w:r>
        <w:rPr>
          <w:rStyle w:val="FootnoteReference"/>
        </w:rPr>
        <w:footnoteRef/>
      </w:r>
      <w:r>
        <w:t xml:space="preserve"> </w:t>
      </w:r>
      <w:proofErr w:type="spellStart"/>
      <w:r>
        <w:t>Niskanen</w:t>
      </w:r>
      <w:proofErr w:type="spellEnd"/>
      <w:r>
        <w:t xml:space="preserve"> Center Rehearing Request at 10-12.  </w:t>
      </w:r>
      <w:r w:rsidRPr="00EF6BA4">
        <w:rPr>
          <w:i/>
          <w:iCs/>
        </w:rPr>
        <w:t>See Limiting Authorizations to Proceed with Construction Activities Pending Rehearing</w:t>
      </w:r>
      <w:r>
        <w:t xml:space="preserve">, Order No. 871, 171 FERC ¶ 61,201 (2020), </w:t>
      </w:r>
      <w:r w:rsidRPr="007750CB">
        <w:rPr>
          <w:i/>
          <w:iCs/>
        </w:rPr>
        <w:t>order on reh’g</w:t>
      </w:r>
      <w:r>
        <w:t xml:space="preserve">, Order No. 871-B, 86, Fed. Reg. 26,150 (May 13, 2021), 175 FERC ¶ 61,098 (2021), </w:t>
      </w:r>
      <w:r w:rsidRPr="007750CB">
        <w:rPr>
          <w:i/>
          <w:iCs/>
        </w:rPr>
        <w:t>order on reh’g</w:t>
      </w:r>
      <w:r>
        <w:t>, Order No. 871-C, 176 FERC ¶ 61,062 (2021).</w:t>
      </w:r>
    </w:p>
  </w:footnote>
  <w:footnote w:id="31">
    <w:p w14:paraId="697D1BB9" w14:textId="5011D6C8" w:rsidR="005F79B0" w:rsidRDefault="005F79B0" w:rsidP="00ED2EAF">
      <w:pPr>
        <w:pStyle w:val="FootnoteText"/>
      </w:pPr>
      <w:r>
        <w:rPr>
          <w:rStyle w:val="FootnoteReference"/>
        </w:rPr>
        <w:footnoteRef/>
      </w:r>
      <w:r>
        <w:t xml:space="preserve"> </w:t>
      </w:r>
      <w:proofErr w:type="spellStart"/>
      <w:r>
        <w:t>Niskanen</w:t>
      </w:r>
      <w:proofErr w:type="spellEnd"/>
      <w:r>
        <w:t xml:space="preserve"> Center Rehearing Request at 11 (“Intervenors are not requesting that the Temporary Certificate be stayed in its entirety, but only to the extent it grants eminent domain authority. Having the power to stay the entire certificate, the Commission surely has the authority to stay only that provision.”).</w:t>
      </w:r>
    </w:p>
  </w:footnote>
  <w:footnote w:id="32">
    <w:p w14:paraId="12FA98C0" w14:textId="01E3F398" w:rsidR="005F79B0" w:rsidRDefault="005F79B0">
      <w:pPr>
        <w:pStyle w:val="FootnoteText"/>
      </w:pPr>
      <w:r>
        <w:rPr>
          <w:rStyle w:val="FootnoteReference"/>
        </w:rPr>
        <w:footnoteRef/>
      </w:r>
      <w:r>
        <w:t xml:space="preserve"> Order No. 871-B, 175 FERC ¶ 61,098 at PP 45-46 (explaining that courts have held that the Commission lacks authority to restrict the exercise of the right of eminent domain, but the Commission unquestionably may determine the effective date of and stay its own orders, which in practice withholds the eminent domain authority conveyed through a certificate).</w:t>
      </w:r>
    </w:p>
  </w:footnote>
  <w:footnote w:id="33">
    <w:p w14:paraId="717BC098" w14:textId="17EB788B" w:rsidR="005F79B0" w:rsidRDefault="005F79B0">
      <w:pPr>
        <w:pStyle w:val="FootnoteText"/>
      </w:pPr>
      <w:r>
        <w:rPr>
          <w:rStyle w:val="FootnoteReference"/>
        </w:rPr>
        <w:footnoteRef/>
      </w:r>
      <w:r>
        <w:t xml:space="preserve"> Order </w:t>
      </w:r>
      <w:r w:rsidRPr="00E5223C">
        <w:t>No. 871-B, 175 FERC ¶ 61,098 at</w:t>
      </w:r>
      <w:r w:rsidRPr="00E91AAB">
        <w:t xml:space="preserve"> P 51.</w:t>
      </w:r>
    </w:p>
  </w:footnote>
  <w:footnote w:id="34">
    <w:p w14:paraId="0CF1FABB" w14:textId="03EC85EB" w:rsidR="005F79B0" w:rsidRDefault="005F79B0">
      <w:pPr>
        <w:pStyle w:val="FootnoteText"/>
      </w:pPr>
      <w:r>
        <w:rPr>
          <w:rStyle w:val="FootnoteReference"/>
        </w:rPr>
        <w:footnoteRef/>
      </w:r>
      <w:r>
        <w:t xml:space="preserve"> Temporary Certificate Order, 177 FERC ¶ 61,147 at P 47.</w:t>
      </w:r>
    </w:p>
  </w:footnote>
  <w:footnote w:id="35">
    <w:p w14:paraId="6613E460" w14:textId="00BB076A" w:rsidR="005F79B0" w:rsidRDefault="005F79B0">
      <w:pPr>
        <w:pStyle w:val="FootnoteText"/>
      </w:pPr>
      <w:r>
        <w:rPr>
          <w:rStyle w:val="FootnoteReference"/>
        </w:rPr>
        <w:footnoteRef/>
      </w:r>
      <w:r>
        <w:t xml:space="preserve"> </w:t>
      </w:r>
      <w:proofErr w:type="spellStart"/>
      <w:r>
        <w:t>Niskanen</w:t>
      </w:r>
      <w:proofErr w:type="spellEnd"/>
      <w:r>
        <w:t xml:space="preserve"> Center Rehearing Request at 11.</w:t>
      </w:r>
    </w:p>
  </w:footnote>
  <w:footnote w:id="36">
    <w:p w14:paraId="29AA4589" w14:textId="41E9E5D2" w:rsidR="005F79B0" w:rsidRDefault="005F79B0">
      <w:pPr>
        <w:pStyle w:val="FootnoteText"/>
      </w:pPr>
      <w:r>
        <w:rPr>
          <w:rStyle w:val="FootnoteReference"/>
        </w:rPr>
        <w:footnoteRef/>
      </w:r>
      <w:r>
        <w:t xml:space="preserve"> </w:t>
      </w:r>
      <w:r w:rsidRPr="00E87D73">
        <w:rPr>
          <w:i/>
          <w:iCs/>
        </w:rPr>
        <w:t>See supra</w:t>
      </w:r>
      <w:r>
        <w:t xml:space="preserve"> paragraph 9.</w:t>
      </w:r>
    </w:p>
  </w:footnote>
  <w:footnote w:id="37">
    <w:p w14:paraId="01EF8198" w14:textId="7DEFAEC8" w:rsidR="005F79B0" w:rsidRDefault="005F79B0">
      <w:pPr>
        <w:pStyle w:val="FootnoteText"/>
      </w:pPr>
      <w:r>
        <w:rPr>
          <w:rStyle w:val="FootnoteReference"/>
        </w:rPr>
        <w:footnoteRef/>
      </w:r>
      <w:r>
        <w:t xml:space="preserve"> </w:t>
      </w:r>
      <w:r w:rsidRPr="00A75E3B">
        <w:rPr>
          <w:i/>
          <w:iCs/>
        </w:rPr>
        <w:t>See</w:t>
      </w:r>
      <w:r>
        <w:t xml:space="preserve"> </w:t>
      </w:r>
      <w:r w:rsidRPr="002D4DE8">
        <w:t>Temporary Certificate Order, 177 FERC ¶ 61,147 at P 47</w:t>
      </w:r>
      <w:r>
        <w:t>.</w:t>
      </w:r>
    </w:p>
  </w:footnote>
  <w:footnote w:id="38">
    <w:p w14:paraId="3E4FAA39" w14:textId="558E637E" w:rsidR="005F79B0" w:rsidRDefault="005F79B0">
      <w:pPr>
        <w:pStyle w:val="FootnoteText"/>
      </w:pPr>
      <w:r>
        <w:rPr>
          <w:rStyle w:val="FootnoteReference"/>
        </w:rPr>
        <w:footnoteRef/>
      </w:r>
      <w:r>
        <w:t xml:space="preserve"> </w:t>
      </w:r>
      <w:r w:rsidRPr="00664202">
        <w:t xml:space="preserve">Order No. 871-B, 175 FERC ¶ 61,098 at P </w:t>
      </w:r>
      <w:r>
        <w:t>47.</w:t>
      </w:r>
    </w:p>
  </w:footnote>
  <w:footnote w:id="39">
    <w:p w14:paraId="47A27DD9" w14:textId="69807913" w:rsidR="005F79B0" w:rsidRPr="008444CE" w:rsidRDefault="005F79B0">
      <w:pPr>
        <w:pStyle w:val="FootnoteText"/>
      </w:pPr>
      <w:r>
        <w:rPr>
          <w:rStyle w:val="FootnoteReference"/>
        </w:rPr>
        <w:footnoteRef/>
      </w:r>
      <w:r>
        <w:t xml:space="preserve"> </w:t>
      </w:r>
      <w:bookmarkStart w:id="1" w:name="_Hlk92883341"/>
      <w:r w:rsidRPr="000E4BBC">
        <w:rPr>
          <w:i/>
          <w:iCs/>
        </w:rPr>
        <w:t>Spire STL Pipeline LLC v. 3.31 Acres of Land</w:t>
      </w:r>
      <w:bookmarkEnd w:id="1"/>
      <w:r>
        <w:t>, No. 4:18 CV 1327 DDN, 2021 WL 5492897, at *3 (E.D. Mo. Nov. 23, 2021) (similarly explaining that</w:t>
      </w:r>
      <w:r w:rsidRPr="00AC23FF">
        <w:t xml:space="preserve"> because Spire has already completed construction of the pipeline and is not permitted by the temporary certificate to engage in any new construction, Order </w:t>
      </w:r>
      <w:r>
        <w:t xml:space="preserve">No. </w:t>
      </w:r>
      <w:r w:rsidRPr="00AC23FF">
        <w:t>871-B does not presumptively stay plaintiff's eminent domain authorit</w:t>
      </w:r>
      <w:r>
        <w:t xml:space="preserve">y); </w:t>
      </w:r>
      <w:r w:rsidRPr="008444CE">
        <w:rPr>
          <w:i/>
          <w:iCs/>
        </w:rPr>
        <w:t>Spire STL Pipeline LLC v. Jefferson</w:t>
      </w:r>
      <w:r>
        <w:t xml:space="preserve">, No. </w:t>
      </w:r>
      <w:r w:rsidR="009341C3">
        <w:t xml:space="preserve">    </w:t>
      </w:r>
      <w:r>
        <w:t xml:space="preserve">18-cv-03204, slip op. at *8 (C.D. Ill. Oct. 28, 2021) </w:t>
      </w:r>
      <w:r w:rsidRPr="00F871CD">
        <w:t>(</w:t>
      </w:r>
      <w:r>
        <w:t>stating that the policy concerns underlying Order No. 871-B do not apply where construction of the pipeline has already been completed and the purpose of the temporary certificate is to allow a developer to continue operating and maintaining the pipeline</w:t>
      </w:r>
      <w:r w:rsidRPr="00F871CD">
        <w:t>)</w:t>
      </w:r>
      <w:r>
        <w:t xml:space="preserve">.  </w:t>
      </w:r>
    </w:p>
  </w:footnote>
  <w:footnote w:id="40">
    <w:p w14:paraId="0C062C08" w14:textId="0505206B" w:rsidR="005F79B0" w:rsidRDefault="005F79B0">
      <w:pPr>
        <w:pStyle w:val="FootnoteText"/>
      </w:pPr>
      <w:r>
        <w:rPr>
          <w:rStyle w:val="FootnoteReference"/>
        </w:rPr>
        <w:footnoteRef/>
      </w:r>
      <w:r>
        <w:t xml:space="preserve"> EDF Rehearing Request at 2. </w:t>
      </w:r>
    </w:p>
  </w:footnote>
  <w:footnote w:id="41">
    <w:p w14:paraId="65426012" w14:textId="23DA31A9" w:rsidR="005F79B0" w:rsidRDefault="005F79B0" w:rsidP="00284AA2">
      <w:pPr>
        <w:pStyle w:val="FootnoteText"/>
      </w:pPr>
      <w:r>
        <w:rPr>
          <w:rStyle w:val="FootnoteReference"/>
        </w:rPr>
        <w:footnoteRef/>
      </w:r>
      <w:r>
        <w:t xml:space="preserve"> Temporary Certificate Order, </w:t>
      </w:r>
      <w:r w:rsidRPr="00284AA2">
        <w:t xml:space="preserve">177 FERC ¶ 61,147 at PP </w:t>
      </w:r>
      <w:r>
        <w:t>60 (“We are mindful of the D.C. Circuit’s concerns regarding the potential that Spire engaged in self-dealing and the Commission’s failure to seriously examine those concerns.  Nevertheless, these matters have been remanded to the Commission, and are best addressed on remand.”).</w:t>
      </w:r>
    </w:p>
  </w:footnote>
  <w:footnote w:id="42">
    <w:p w14:paraId="6F16E5BA" w14:textId="586FA0D2" w:rsidR="005F79B0" w:rsidRDefault="005F79B0">
      <w:pPr>
        <w:pStyle w:val="FootnoteText"/>
      </w:pPr>
      <w:r>
        <w:rPr>
          <w:rStyle w:val="FootnoteReference"/>
        </w:rPr>
        <w:footnoteRef/>
      </w:r>
      <w:r>
        <w:t xml:space="preserve"> EDF Rehearing Request at 5.</w:t>
      </w:r>
    </w:p>
  </w:footnote>
  <w:footnote w:id="43">
    <w:p w14:paraId="5487EB7A" w14:textId="04AFD719" w:rsidR="005F79B0" w:rsidRDefault="005F79B0" w:rsidP="005F59F5">
      <w:pPr>
        <w:pStyle w:val="FootnoteText"/>
      </w:pPr>
      <w:r>
        <w:rPr>
          <w:rStyle w:val="FootnoteReference"/>
        </w:rPr>
        <w:footnoteRef/>
      </w:r>
      <w:r>
        <w:t xml:space="preserve"> </w:t>
      </w:r>
      <w:r>
        <w:rPr>
          <w:i/>
          <w:iCs/>
        </w:rPr>
        <w:t xml:space="preserve">Id. </w:t>
      </w:r>
      <w:r>
        <w:t xml:space="preserve">at 3, 5 (citing </w:t>
      </w:r>
      <w:r w:rsidRPr="005F59F5">
        <w:rPr>
          <w:i/>
          <w:iCs/>
        </w:rPr>
        <w:t>Pub. Utils. Comm’n of State of Cal. v. FERC</w:t>
      </w:r>
      <w:r>
        <w:t>, 900 F.2d 269, 297 (D.C. Cir. 1990)).</w:t>
      </w:r>
    </w:p>
  </w:footnote>
  <w:footnote w:id="44">
    <w:p w14:paraId="0CAB60E5" w14:textId="2D44FA57" w:rsidR="005F79B0" w:rsidRDefault="005F79B0" w:rsidP="00844AB9">
      <w:pPr>
        <w:pStyle w:val="FootnoteText"/>
      </w:pPr>
      <w:r>
        <w:rPr>
          <w:rStyle w:val="FootnoteReference"/>
        </w:rPr>
        <w:footnoteRef/>
      </w:r>
      <w:r>
        <w:t xml:space="preserve"> Temporary Certificate</w:t>
      </w:r>
      <w:r w:rsidRPr="008E3A74">
        <w:t xml:space="preserve"> Order, 177 FERC ¶ 61,147 at P </w:t>
      </w:r>
      <w:r>
        <w:t>47.</w:t>
      </w:r>
    </w:p>
  </w:footnote>
  <w:footnote w:id="45">
    <w:p w14:paraId="6B9899D3" w14:textId="68DB7E1F" w:rsidR="005F79B0" w:rsidRDefault="005F79B0">
      <w:pPr>
        <w:pStyle w:val="FootnoteText"/>
      </w:pPr>
      <w:r>
        <w:rPr>
          <w:rStyle w:val="FootnoteReference"/>
        </w:rPr>
        <w:footnoteRef/>
      </w:r>
      <w:r>
        <w:t xml:space="preserve"> 2 F.4th at 973.</w:t>
      </w:r>
    </w:p>
  </w:footnote>
  <w:footnote w:id="46">
    <w:p w14:paraId="5783A00B" w14:textId="47825343" w:rsidR="005F79B0" w:rsidRDefault="005F79B0">
      <w:pPr>
        <w:pStyle w:val="FootnoteText"/>
      </w:pPr>
      <w:r>
        <w:rPr>
          <w:rStyle w:val="FootnoteReference"/>
        </w:rPr>
        <w:footnoteRef/>
      </w:r>
      <w:r>
        <w:t xml:space="preserve"> </w:t>
      </w:r>
      <w:r>
        <w:rPr>
          <w:i/>
          <w:iCs/>
        </w:rPr>
        <w:t>Id.</w:t>
      </w:r>
      <w:r>
        <w:t xml:space="preserve"> at 975.</w:t>
      </w:r>
    </w:p>
  </w:footnote>
  <w:footnote w:id="47">
    <w:p w14:paraId="5C42BDC3" w14:textId="22832DA0" w:rsidR="005F79B0" w:rsidRDefault="005F79B0">
      <w:pPr>
        <w:pStyle w:val="FootnoteText"/>
      </w:pPr>
      <w:r>
        <w:rPr>
          <w:rStyle w:val="FootnoteReference"/>
        </w:rPr>
        <w:footnoteRef/>
      </w:r>
      <w:r>
        <w:t xml:space="preserve"> </w:t>
      </w:r>
      <w:r w:rsidRPr="000431B3">
        <w:rPr>
          <w:i/>
          <w:iCs/>
        </w:rPr>
        <w:t>See</w:t>
      </w:r>
      <w:r>
        <w:t xml:space="preserve"> Temporary Certificate Order, </w:t>
      </w:r>
      <w:r w:rsidRPr="000431B3">
        <w:t xml:space="preserve">177 FERC ¶ 61,147 at PP </w:t>
      </w:r>
      <w:r>
        <w:t>27-47.</w:t>
      </w:r>
    </w:p>
  </w:footnote>
  <w:footnote w:id="48">
    <w:p w14:paraId="40E5CEBA" w14:textId="77777777" w:rsidR="00574E95" w:rsidRDefault="00574E95" w:rsidP="0015691B">
      <w:pPr>
        <w:pStyle w:val="FootnoteText"/>
      </w:pPr>
      <w:r w:rsidRPr="003F4882">
        <w:rPr>
          <w:rStyle w:val="FootnoteReference"/>
        </w:rPr>
        <w:footnoteRef/>
      </w:r>
      <w:r>
        <w:t xml:space="preserve"> </w:t>
      </w:r>
      <w:r w:rsidRPr="006F09BD">
        <w:rPr>
          <w:i/>
          <w:iCs/>
        </w:rPr>
        <w:t>Spire STL Pipeline LLC</w:t>
      </w:r>
      <w:r>
        <w:t xml:space="preserve">, 178 FERC ¶ 61,109, at P 13 (2022).  I remain convinced that the Commission exceeded its authority in establishing the policy announced in Order Nos. 871-B and 871-C to presumptively stay Natural Gas Act (NGA) section 7(c) certificate orders.  </w:t>
      </w:r>
      <w:r w:rsidRPr="00AD6ADE">
        <w:rPr>
          <w:i/>
          <w:iCs/>
        </w:rPr>
        <w:t xml:space="preserve">See </w:t>
      </w:r>
      <w:r w:rsidRPr="00D52B4C">
        <w:rPr>
          <w:i/>
          <w:iCs/>
        </w:rPr>
        <w:t>Limiting Authorizations to Proceed with Constr</w:t>
      </w:r>
      <w:r>
        <w:rPr>
          <w:i/>
          <w:iCs/>
        </w:rPr>
        <w:t>.</w:t>
      </w:r>
      <w:r w:rsidRPr="00D52B4C">
        <w:rPr>
          <w:i/>
          <w:iCs/>
        </w:rPr>
        <w:t xml:space="preserve"> Activities Pending Rehearing</w:t>
      </w:r>
      <w:r w:rsidRPr="00D52B4C">
        <w:t>, 176 FERC ¶</w:t>
      </w:r>
      <w:r>
        <w:t> </w:t>
      </w:r>
      <w:r w:rsidRPr="00D52B4C">
        <w:t>61,062 (2021)</w:t>
      </w:r>
      <w:r>
        <w:t xml:space="preserve"> (Danly, Comm’r, dissenting at PP 2-6) (Order No. 871-C); </w:t>
      </w:r>
      <w:r w:rsidRPr="00AD6ADE">
        <w:rPr>
          <w:i/>
          <w:iCs/>
        </w:rPr>
        <w:t>Limiting Authorizations to Proceed with Constr</w:t>
      </w:r>
      <w:r>
        <w:rPr>
          <w:i/>
          <w:iCs/>
        </w:rPr>
        <w:t>.</w:t>
      </w:r>
      <w:r w:rsidRPr="00AD6ADE">
        <w:rPr>
          <w:i/>
          <w:iCs/>
        </w:rPr>
        <w:t xml:space="preserve"> Activities Pending Rehearing</w:t>
      </w:r>
      <w:r w:rsidRPr="00AD6ADE">
        <w:t>, 175 FERC ¶</w:t>
      </w:r>
      <w:r>
        <w:t> </w:t>
      </w:r>
      <w:r w:rsidRPr="00AD6ADE">
        <w:t>61,098</w:t>
      </w:r>
      <w:r>
        <w:t xml:space="preserve"> </w:t>
      </w:r>
      <w:r w:rsidRPr="00AD6ADE">
        <w:t>(2021)</w:t>
      </w:r>
      <w:r>
        <w:t xml:space="preserve"> (Danly, Comm’r, dissenting at PP 6-12) (Order No. 871-B).  </w:t>
      </w:r>
      <w:r w:rsidRPr="0015691B">
        <w:t>Section 19(c) sets forth the rule—that “[t]he filing of an application for rehearing under subsection (a) shall not</w:t>
      </w:r>
      <w:r>
        <w:t> . . . </w:t>
      </w:r>
      <w:r w:rsidRPr="0015691B">
        <w:t>operate as a stay of the Commission</w:t>
      </w:r>
      <w:r>
        <w:t>’</w:t>
      </w:r>
      <w:r w:rsidRPr="0015691B">
        <w:t xml:space="preserve">s order”—and the exception to that rule—“unless </w:t>
      </w:r>
      <w:r w:rsidRPr="00EB7A94">
        <w:rPr>
          <w:i/>
          <w:iCs/>
        </w:rPr>
        <w:t>specifically</w:t>
      </w:r>
      <w:r w:rsidRPr="0015691B">
        <w:t xml:space="preserve"> ordered by the Commission.”</w:t>
      </w:r>
      <w:r>
        <w:t xml:space="preserve">  </w:t>
      </w:r>
      <w:r w:rsidRPr="0001209F">
        <w:t>15 U.S.C. §</w:t>
      </w:r>
      <w:r>
        <w:t> </w:t>
      </w:r>
      <w:r w:rsidRPr="0001209F">
        <w:t>717r(c)</w:t>
      </w:r>
      <w:r>
        <w:t xml:space="preserve"> (emphasis added)</w:t>
      </w:r>
      <w:r w:rsidRPr="0015691B">
        <w:t>.</w:t>
      </w:r>
    </w:p>
  </w:footnote>
  <w:footnote w:id="49">
    <w:p w14:paraId="4B389C85" w14:textId="77777777" w:rsidR="00574E95" w:rsidRDefault="00574E95" w:rsidP="007303C1">
      <w:pPr>
        <w:pStyle w:val="FootnoteText"/>
      </w:pPr>
      <w:r w:rsidRPr="003F4882">
        <w:rPr>
          <w:rStyle w:val="FootnoteReference"/>
        </w:rPr>
        <w:footnoteRef/>
      </w:r>
      <w:r>
        <w:t xml:space="preserve"> </w:t>
      </w:r>
      <w:r w:rsidRPr="006F09BD">
        <w:rPr>
          <w:i/>
          <w:iCs/>
        </w:rPr>
        <w:t>Spire STL Pipeline LLC</w:t>
      </w:r>
      <w:r>
        <w:t>, 178 FERC ¶ 61,109 at P 14</w:t>
      </w:r>
      <w:r w:rsidRPr="007303C1">
        <w:t>.</w:t>
      </w:r>
    </w:p>
  </w:footnote>
  <w:footnote w:id="50">
    <w:p w14:paraId="55D98A2F" w14:textId="77777777" w:rsidR="00574E95" w:rsidRDefault="00574E95" w:rsidP="00381F1C">
      <w:pPr>
        <w:pStyle w:val="FootnoteText"/>
      </w:pPr>
      <w:r w:rsidRPr="003F4882">
        <w:rPr>
          <w:rStyle w:val="FootnoteReference"/>
        </w:rPr>
        <w:footnoteRef/>
      </w:r>
      <w:r>
        <w:t xml:space="preserve"> </w:t>
      </w:r>
      <w:r w:rsidRPr="0049481D">
        <w:t>2 F.4th</w:t>
      </w:r>
      <w:r>
        <w:t> </w:t>
      </w:r>
      <w:r w:rsidRPr="0049481D">
        <w:t>953</w:t>
      </w:r>
      <w:r>
        <w:t xml:space="preserve"> </w:t>
      </w:r>
      <w:r w:rsidRPr="0049481D">
        <w:t>(D.C. Cir. 2021)</w:t>
      </w:r>
      <w:r>
        <w:t>.</w:t>
      </w:r>
    </w:p>
  </w:footnote>
  <w:footnote w:id="51">
    <w:p w14:paraId="15970E2F" w14:textId="0DDA153C" w:rsidR="00574E95" w:rsidRDefault="00574E95" w:rsidP="00381F1C">
      <w:pPr>
        <w:pStyle w:val="FootnoteText"/>
      </w:pPr>
      <w:r>
        <w:rPr>
          <w:rStyle w:val="FootnoteReference"/>
        </w:rPr>
        <w:footnoteRef/>
      </w:r>
      <w:r>
        <w:t xml:space="preserve"> </w:t>
      </w:r>
      <w:r>
        <w:rPr>
          <w:i/>
          <w:iCs/>
        </w:rPr>
        <w:t xml:space="preserve">See </w:t>
      </w:r>
      <w:r w:rsidRPr="006F09BD">
        <w:rPr>
          <w:i/>
          <w:iCs/>
        </w:rPr>
        <w:t>Spire STL Pipeline LLC</w:t>
      </w:r>
      <w:r>
        <w:t>, 178 FERC ¶ 61,109 at P 17 (“</w:t>
      </w:r>
      <w:r w:rsidRPr="003278FD">
        <w:t xml:space="preserve">We acknowledge the D.C. Circuit’s concern that the Commission did not adequately address potential </w:t>
      </w:r>
      <w:r>
        <w:t xml:space="preserve">        </w:t>
      </w:r>
      <w:r w:rsidRPr="003278FD">
        <w:t>self-dealing allegations in the Certificate Order; however, this issue has been remanded to the Commission and will be addressed when the Commission acts on remand on Spire’s pending certificate application.</w:t>
      </w:r>
      <w:r>
        <w:t>”).  NGA section 7(c)(1)(B) states “[t]hat</w:t>
      </w:r>
      <w:r w:rsidRPr="002208B7">
        <w:t xml:space="preserve"> the Commission may issue a temporary certificate in cases of emergency, to assure maintenance of adequate service or to serve particular customers, </w:t>
      </w:r>
      <w:r w:rsidRPr="00705F8C">
        <w:rPr>
          <w:i/>
          <w:iCs/>
        </w:rPr>
        <w:t>without notice or hearing, pending the determination of an application for a certificate</w:t>
      </w:r>
      <w:r>
        <w:t xml:space="preserve">.”  </w:t>
      </w:r>
      <w:r w:rsidRPr="002208B7">
        <w:t>15 U.S.C.</w:t>
      </w:r>
      <w:r>
        <w:t xml:space="preserve"> </w:t>
      </w:r>
      <w:r w:rsidRPr="002208B7">
        <w:t>§</w:t>
      </w:r>
      <w:r>
        <w:t> </w:t>
      </w:r>
      <w:r w:rsidRPr="002208B7">
        <w:t>717f</w:t>
      </w:r>
      <w:r>
        <w:t>(c)(1)(B) (emphasis added).</w:t>
      </w:r>
    </w:p>
  </w:footnote>
  <w:footnote w:id="52">
    <w:p w14:paraId="5F07E422" w14:textId="06FCFA0E" w:rsidR="00574E95" w:rsidRDefault="00574E95" w:rsidP="00806382">
      <w:pPr>
        <w:pStyle w:val="FootnoteText"/>
      </w:pPr>
      <w:r w:rsidRPr="003F4882">
        <w:rPr>
          <w:rStyle w:val="FootnoteReference"/>
        </w:rPr>
        <w:footnoteRef/>
      </w:r>
      <w:r>
        <w:t xml:space="preserve"> </w:t>
      </w:r>
      <w:r w:rsidRPr="00475517">
        <w:rPr>
          <w:i/>
          <w:iCs/>
        </w:rPr>
        <w:t>See Spire STL Pipeline LLC</w:t>
      </w:r>
      <w:r w:rsidRPr="00475517">
        <w:t>, 177 FERC ¶</w:t>
      </w:r>
      <w:r>
        <w:t> </w:t>
      </w:r>
      <w:r w:rsidRPr="00475517">
        <w:t>61,147 (2021)</w:t>
      </w:r>
      <w:r>
        <w:t xml:space="preserve"> (Danly, Comm’r, concurring in part and dissenting in part at PP 2, 7); </w:t>
      </w:r>
      <w:r w:rsidRPr="00475517">
        <w:rPr>
          <w:i/>
          <w:iCs/>
        </w:rPr>
        <w:t>Spire STL Pipeline LLC</w:t>
      </w:r>
      <w:r w:rsidRPr="00475517">
        <w:t xml:space="preserve">, </w:t>
      </w:r>
      <w:r>
        <w:t xml:space="preserve">               </w:t>
      </w:r>
      <w:r w:rsidRPr="00475517">
        <w:t>177 FERC ¶</w:t>
      </w:r>
      <w:r>
        <w:t> </w:t>
      </w:r>
      <w:r w:rsidRPr="00475517">
        <w:t>61,114 (2021) (Danly, Comm'r, dissenting at PP</w:t>
      </w:r>
      <w:r>
        <w:t> </w:t>
      </w:r>
      <w:r w:rsidRPr="00475517">
        <w:t>7-17).</w:t>
      </w:r>
    </w:p>
  </w:footnote>
  <w:footnote w:id="53">
    <w:p w14:paraId="4CC7DBFF" w14:textId="77777777" w:rsidR="00574E95" w:rsidRDefault="00574E95">
      <w:pPr>
        <w:pStyle w:val="FootnoteText"/>
      </w:pPr>
      <w:r w:rsidRPr="003F4882">
        <w:rPr>
          <w:rStyle w:val="FootnoteReference"/>
        </w:rPr>
        <w:footnoteRef/>
      </w:r>
      <w:r>
        <w:t xml:space="preserve"> 15 U.S.C. § 717f(h).</w:t>
      </w:r>
    </w:p>
  </w:footnote>
  <w:footnote w:id="54">
    <w:p w14:paraId="2A4F91D7" w14:textId="77777777" w:rsidR="00574E95" w:rsidRDefault="00574E95" w:rsidP="00F23F93">
      <w:pPr>
        <w:pStyle w:val="FootnoteText"/>
      </w:pPr>
      <w:r w:rsidRPr="003F4882">
        <w:rPr>
          <w:rStyle w:val="FootnoteReference"/>
        </w:rPr>
        <w:footnoteRef/>
      </w:r>
      <w:r>
        <w:t xml:space="preserve"> </w:t>
      </w:r>
      <w:r w:rsidRPr="00965AD2">
        <w:rPr>
          <w:i/>
          <w:iCs/>
        </w:rPr>
        <w:t>Id</w:t>
      </w:r>
      <w:r>
        <w:t>.</w:t>
      </w:r>
      <w:r w:rsidRPr="00E824A6">
        <w:t xml:space="preserve"> §</w:t>
      </w:r>
      <w:r>
        <w:t> </w:t>
      </w:r>
      <w:r w:rsidRPr="00E824A6">
        <w:t>717f</w:t>
      </w:r>
      <w:r>
        <w:t>(c)(1)(B)</w:t>
      </w:r>
      <w:r w:rsidRPr="00E824A6">
        <w:t>.</w:t>
      </w:r>
    </w:p>
  </w:footnote>
  <w:footnote w:id="55">
    <w:p w14:paraId="499AB487" w14:textId="77777777" w:rsidR="00574E95" w:rsidRDefault="00574E95" w:rsidP="00232898">
      <w:pPr>
        <w:pStyle w:val="FootnoteText"/>
      </w:pPr>
      <w:r w:rsidRPr="003F4882">
        <w:rPr>
          <w:rStyle w:val="FootnoteReference"/>
        </w:rPr>
        <w:footnoteRef/>
      </w:r>
      <w:r>
        <w:t xml:space="preserve"> </w:t>
      </w:r>
      <w:r>
        <w:rPr>
          <w:i/>
          <w:iCs/>
        </w:rPr>
        <w:t xml:space="preserve">See </w:t>
      </w:r>
      <w:r w:rsidRPr="006F09BD">
        <w:rPr>
          <w:i/>
          <w:iCs/>
        </w:rPr>
        <w:t>Spire STL Pipeline LLC</w:t>
      </w:r>
      <w:r>
        <w:rPr>
          <w:i/>
          <w:iCs/>
        </w:rPr>
        <w:t xml:space="preserve"> </w:t>
      </w:r>
      <w:r>
        <w:t xml:space="preserve">178 FERC ¶ 61,109 at P 11 (citing </w:t>
      </w:r>
      <w:r w:rsidRPr="00F23F93">
        <w:rPr>
          <w:i/>
          <w:iCs/>
        </w:rPr>
        <w:t>Spire STL Pipeline LLC v. 3.31 Acres of Land</w:t>
      </w:r>
      <w:r w:rsidRPr="00F23F93">
        <w:t>, No. 4:18 CV 1327 DDN (E.D. Mo. Nov. 23, 2021)</w:t>
      </w:r>
      <w:r>
        <w:t xml:space="preserve">; </w:t>
      </w:r>
      <w:r w:rsidRPr="00F57CD3">
        <w:rPr>
          <w:i/>
          <w:iCs/>
        </w:rPr>
        <w:t>Spire STL Pipeline LLC v. Jefferson</w:t>
      </w:r>
      <w:r w:rsidRPr="00F57CD3">
        <w:t>, No. 18-cv-03204, slip op. (C.D. Ill. Oct. 27, 2021)).</w:t>
      </w:r>
      <w:r>
        <w:t xml:space="preserve">  </w:t>
      </w:r>
      <w:proofErr w:type="gramStart"/>
      <w:r>
        <w:t>Assuming that</w:t>
      </w:r>
      <w:proofErr w:type="gramEnd"/>
      <w:r>
        <w:t xml:space="preserve"> NGA section 7(h) confers eminent domain authority upon temporary certificate holders, the Commission may not restrict such authority.  </w:t>
      </w:r>
      <w:r>
        <w:rPr>
          <w:i/>
          <w:iCs/>
        </w:rPr>
        <w:t xml:space="preserve">See supra </w:t>
      </w:r>
      <w:r>
        <w:t xml:space="preserve">P 1 (agreeing with my colleagues that </w:t>
      </w:r>
      <w:r w:rsidRPr="00232898">
        <w:t>“the Commission lacks authority to deny or restrict a certificate-holder’s exercise of the statutory right of eminent domain”</w:t>
      </w:r>
      <w:r>
        <w:t xml:space="preserve">) (citation omitted); </w:t>
      </w:r>
      <w:r>
        <w:rPr>
          <w:i/>
          <w:iCs/>
        </w:rPr>
        <w:t>see, e.g.</w:t>
      </w:r>
      <w:r w:rsidRPr="00306EA3">
        <w:t>,</w:t>
      </w:r>
      <w:r>
        <w:rPr>
          <w:i/>
          <w:iCs/>
        </w:rPr>
        <w:t xml:space="preserve"> </w:t>
      </w:r>
      <w:r w:rsidRPr="007303C1">
        <w:rPr>
          <w:i/>
          <w:iCs/>
        </w:rPr>
        <w:t>Twp. of Bordentown, N.J. v. FERC</w:t>
      </w:r>
      <w:r w:rsidRPr="007303C1">
        <w:t>, 903 F.3d</w:t>
      </w:r>
      <w:r>
        <w:t> </w:t>
      </w:r>
      <w:r w:rsidRPr="007303C1">
        <w:t>234,</w:t>
      </w:r>
      <w:r>
        <w:t> </w:t>
      </w:r>
      <w:r w:rsidRPr="007303C1">
        <w:t>265 (3d Cir. 2018) (</w:t>
      </w:r>
      <w:r>
        <w:t>“</w:t>
      </w:r>
      <w:r w:rsidRPr="007303C1">
        <w:t>The NGA, 15 U.S.C. §</w:t>
      </w:r>
      <w:r>
        <w:t> </w:t>
      </w:r>
      <w:r w:rsidRPr="007303C1">
        <w:t xml:space="preserve">717f(h), affords certificate holders the right to condemn such property, and contains no condition precedent other than that a certificate is issued and that the certificate holder is unable to </w:t>
      </w:r>
      <w:r>
        <w:t>‘</w:t>
      </w:r>
      <w:r w:rsidRPr="007303C1">
        <w:t>acquire [the right of way] by contract.</w:t>
      </w:r>
      <w:r>
        <w:t>’</w:t>
      </w:r>
      <w:r w:rsidRPr="007303C1">
        <w:t>”</w:t>
      </w:r>
      <w:r>
        <w:t xml:space="preserve">); </w:t>
      </w:r>
      <w:r w:rsidRPr="007303C1">
        <w:rPr>
          <w:i/>
          <w:iCs/>
        </w:rPr>
        <w:t>Berkley v. Mountain Valley Pipeline, LLC</w:t>
      </w:r>
      <w:r w:rsidRPr="007303C1">
        <w:t>, 896 F.3d</w:t>
      </w:r>
      <w:r>
        <w:t> </w:t>
      </w:r>
      <w:r w:rsidRPr="007303C1">
        <w:t>624,</w:t>
      </w:r>
      <w:r>
        <w:t> </w:t>
      </w:r>
      <w:r w:rsidRPr="007303C1">
        <w:t>628 (4th Cir. 2018) (“Issuing such a Certificate conveys and automatically transfers the power of eminent domain to the Certificate holder</w:t>
      </w:r>
      <w:r>
        <w:t xml:space="preserve">. . . .  </w:t>
      </w:r>
      <w:r w:rsidRPr="007303C1">
        <w:t xml:space="preserve">Thus, FERC does not have discretion to withhold eminent domain </w:t>
      </w:r>
      <w:r>
        <w:t xml:space="preserve">power </w:t>
      </w:r>
      <w:r w:rsidRPr="007303C1">
        <w:t>once it grants a Certificate.”)</w:t>
      </w:r>
      <w:r>
        <w:t xml:space="preserve"> (citation omitted); </w:t>
      </w:r>
      <w:proofErr w:type="spellStart"/>
      <w:r w:rsidRPr="007303C1">
        <w:rPr>
          <w:i/>
          <w:iCs/>
        </w:rPr>
        <w:t>Midcoast</w:t>
      </w:r>
      <w:proofErr w:type="spellEnd"/>
      <w:r w:rsidRPr="007303C1">
        <w:rPr>
          <w:i/>
          <w:iCs/>
        </w:rPr>
        <w:t xml:space="preserve"> Interstate Transmission, Inc. v. FERC</w:t>
      </w:r>
      <w:r w:rsidRPr="007303C1">
        <w:t>, 198 F.3d</w:t>
      </w:r>
      <w:r>
        <w:t> </w:t>
      </w:r>
      <w:r w:rsidRPr="007303C1">
        <w:t>960,</w:t>
      </w:r>
      <w:r>
        <w:t> </w:t>
      </w:r>
      <w:r w:rsidRPr="007303C1">
        <w:t>973 (D.C. Cir. 2000) (“</w:t>
      </w:r>
      <w:r w:rsidRPr="00306EA3">
        <w:t>Once a certificate has been granted, the statute allows the certificate holder to obtain needed private property by eminent domain</w:t>
      </w:r>
      <w:proofErr w:type="gramStart"/>
      <w:r w:rsidRPr="00306EA3">
        <w:t>. </w:t>
      </w:r>
      <w:r>
        <w:t>. . .</w:t>
      </w:r>
      <w:proofErr w:type="gramEnd"/>
      <w:r>
        <w:t xml:space="preserve">  </w:t>
      </w:r>
      <w:r w:rsidRPr="007303C1">
        <w:t>The Commission does not have the discretion to deny a certificate holder the power of eminent domain.”</w:t>
      </w:r>
      <w:r>
        <w:t>)</w:t>
      </w:r>
      <w:r w:rsidRPr="007303C1">
        <w:t xml:space="preserve"> (citation omitted)</w:t>
      </w:r>
      <w:r>
        <w:t>.</w:t>
      </w:r>
    </w:p>
  </w:footnote>
  <w:footnote w:id="56">
    <w:p w14:paraId="4F0C8D90" w14:textId="77777777" w:rsidR="00574E95" w:rsidRDefault="00574E95" w:rsidP="006F09BD">
      <w:pPr>
        <w:pStyle w:val="FootnoteText"/>
      </w:pPr>
      <w:r w:rsidRPr="003F4882">
        <w:rPr>
          <w:rStyle w:val="FootnoteReference"/>
        </w:rPr>
        <w:footnoteRef/>
      </w:r>
      <w:r>
        <w:t xml:space="preserve"> </w:t>
      </w:r>
      <w:r w:rsidRPr="006F09BD">
        <w:rPr>
          <w:i/>
          <w:iCs/>
        </w:rPr>
        <w:t>Spire STL Pipeline LLC</w:t>
      </w:r>
      <w:r w:rsidRPr="006F09BD">
        <w:t>, 177 FERC ¶</w:t>
      </w:r>
      <w:r>
        <w:t> </w:t>
      </w:r>
      <w:r w:rsidRPr="006F09BD">
        <w:t xml:space="preserve">61,114 </w:t>
      </w:r>
      <w:r>
        <w:t>(Danly, Comm’r, dissenting at P 8).</w:t>
      </w:r>
    </w:p>
  </w:footnote>
  <w:footnote w:id="57">
    <w:p w14:paraId="2F9FA415" w14:textId="77777777" w:rsidR="00574E95" w:rsidRPr="000C21D2" w:rsidRDefault="00574E95" w:rsidP="006F09BD">
      <w:pPr>
        <w:pStyle w:val="FootnoteText"/>
      </w:pPr>
      <w:r w:rsidRPr="003F4882">
        <w:rPr>
          <w:rStyle w:val="FootnoteReference"/>
        </w:rPr>
        <w:footnoteRef/>
      </w:r>
      <w:r w:rsidRPr="000C21D2">
        <w:t xml:space="preserve"> </w:t>
      </w:r>
      <w:r w:rsidRPr="000C21D2">
        <w:rPr>
          <w:i/>
          <w:iCs/>
        </w:rPr>
        <w:t xml:space="preserve">See </w:t>
      </w:r>
      <w:proofErr w:type="spellStart"/>
      <w:r w:rsidRPr="000C21D2">
        <w:rPr>
          <w:i/>
          <w:iCs/>
        </w:rPr>
        <w:t>PennEast</w:t>
      </w:r>
      <w:proofErr w:type="spellEnd"/>
      <w:r>
        <w:rPr>
          <w:i/>
          <w:iCs/>
        </w:rPr>
        <w:t xml:space="preserve"> Pipeline Co., LLC</w:t>
      </w:r>
      <w:r w:rsidRPr="000C21D2">
        <w:t>, 171 FERC ¶ 61,135</w:t>
      </w:r>
      <w:r>
        <w:t>,</w:t>
      </w:r>
      <w:r w:rsidRPr="000C21D2">
        <w:t xml:space="preserve"> at P 20 </w:t>
      </w:r>
      <w:r>
        <w:t xml:space="preserve">(2020) </w:t>
      </w:r>
      <w:r w:rsidRPr="000C21D2">
        <w:t xml:space="preserve">(“Our interpretation of section 7(h) of the NGA, a statute we administer, merits deference.”) (citing </w:t>
      </w:r>
      <w:proofErr w:type="spellStart"/>
      <w:r w:rsidRPr="000C21D2">
        <w:rPr>
          <w:i/>
          <w:iCs/>
        </w:rPr>
        <w:t>PennEast</w:t>
      </w:r>
      <w:proofErr w:type="spellEnd"/>
      <w:r>
        <w:rPr>
          <w:i/>
          <w:iCs/>
        </w:rPr>
        <w:t xml:space="preserve"> Pipeline Co., LLC</w:t>
      </w:r>
      <w:r w:rsidRPr="000C21D2">
        <w:t>, 170 FERC ¶ 61,064</w:t>
      </w:r>
      <w:r>
        <w:t xml:space="preserve">, </w:t>
      </w:r>
      <w:r w:rsidRPr="000C21D2">
        <w:t>at P 15</w:t>
      </w:r>
      <w:r>
        <w:t xml:space="preserve"> (2020)</w:t>
      </w:r>
      <w:r w:rsidRPr="000C21D2">
        <w:t>; </w:t>
      </w:r>
      <w:r w:rsidRPr="000C21D2">
        <w:rPr>
          <w:i/>
          <w:iCs/>
        </w:rPr>
        <w:t>City of Arlington v. FCC</w:t>
      </w:r>
      <w:r w:rsidRPr="000C21D2">
        <w:t>, 569 U.S.</w:t>
      </w:r>
      <w:r>
        <w:t> </w:t>
      </w:r>
      <w:r w:rsidRPr="000C21D2">
        <w:t>290, 296, 307 (2013); </w:t>
      </w:r>
      <w:proofErr w:type="spellStart"/>
      <w:r w:rsidRPr="000C21D2">
        <w:rPr>
          <w:i/>
          <w:iCs/>
        </w:rPr>
        <w:t>Nat’l</w:t>
      </w:r>
      <w:proofErr w:type="spellEnd"/>
      <w:r w:rsidRPr="000C21D2">
        <w:rPr>
          <w:i/>
          <w:iCs/>
        </w:rPr>
        <w:t xml:space="preserve"> Cable &amp; </w:t>
      </w:r>
      <w:proofErr w:type="spellStart"/>
      <w:r w:rsidRPr="000C21D2">
        <w:rPr>
          <w:i/>
          <w:iCs/>
        </w:rPr>
        <w:t>Telecomms</w:t>
      </w:r>
      <w:proofErr w:type="spellEnd"/>
      <w:r w:rsidRPr="000C21D2">
        <w:rPr>
          <w:i/>
          <w:iCs/>
        </w:rPr>
        <w:t xml:space="preserve">. </w:t>
      </w:r>
      <w:proofErr w:type="spellStart"/>
      <w:r w:rsidRPr="000C21D2">
        <w:rPr>
          <w:i/>
          <w:iCs/>
        </w:rPr>
        <w:t>Ass’n</w:t>
      </w:r>
      <w:proofErr w:type="spellEnd"/>
      <w:r w:rsidRPr="000C21D2">
        <w:rPr>
          <w:i/>
          <w:iCs/>
        </w:rPr>
        <w:t xml:space="preserve"> v. Brand X Internet Servs.</w:t>
      </w:r>
      <w:r w:rsidRPr="000C21D2">
        <w:t>, 545 U.S.</w:t>
      </w:r>
      <w:r>
        <w:t> </w:t>
      </w:r>
      <w:r w:rsidRPr="000C21D2">
        <w:t>967, 982 (2005); </w:t>
      </w:r>
      <w:r w:rsidRPr="000C21D2">
        <w:rPr>
          <w:i/>
          <w:iCs/>
        </w:rPr>
        <w:t>Chevron, U.S.A., Inc. v. Nat. Res. Def. Council, Inc.</w:t>
      </w:r>
      <w:r w:rsidRPr="000C21D2">
        <w:t>, 467 U.S.</w:t>
      </w:r>
      <w:r>
        <w:t> </w:t>
      </w:r>
      <w:r w:rsidRPr="000C21D2">
        <w:t>837, 843 (1984) (</w:t>
      </w:r>
      <w:r w:rsidRPr="000C21D2">
        <w:rPr>
          <w:i/>
          <w:iCs/>
        </w:rPr>
        <w:t>Chevron</w:t>
      </w:r>
      <w:r w:rsidRPr="000C21D2">
        <w:t xml:space="preserve">)); </w:t>
      </w:r>
      <w:proofErr w:type="spellStart"/>
      <w:r w:rsidRPr="000C21D2">
        <w:rPr>
          <w:i/>
          <w:iCs/>
        </w:rPr>
        <w:t>PennEast</w:t>
      </w:r>
      <w:proofErr w:type="spellEnd"/>
      <w:r>
        <w:rPr>
          <w:i/>
          <w:iCs/>
        </w:rPr>
        <w:t xml:space="preserve"> Pipeline Co., LLC</w:t>
      </w:r>
      <w:r w:rsidRPr="000C21D2">
        <w:t>, 171 FERC ¶ 61,135 at P 22 (rejecting an argument that “the Commission does not ‘qualify for </w:t>
      </w:r>
      <w:r w:rsidRPr="000C21D2">
        <w:rPr>
          <w:i/>
          <w:iCs/>
        </w:rPr>
        <w:t>Chevron</w:t>
      </w:r>
      <w:r w:rsidRPr="000C21D2">
        <w:t xml:space="preserve"> deference’ when construing NGA section 7(h)”); </w:t>
      </w:r>
      <w:proofErr w:type="spellStart"/>
      <w:r w:rsidRPr="000C21D2">
        <w:rPr>
          <w:i/>
          <w:iCs/>
        </w:rPr>
        <w:t>PennEast</w:t>
      </w:r>
      <w:proofErr w:type="spellEnd"/>
      <w:r>
        <w:rPr>
          <w:i/>
          <w:iCs/>
        </w:rPr>
        <w:t xml:space="preserve"> Pipeline Co., LLC</w:t>
      </w:r>
      <w:r w:rsidRPr="000C21D2">
        <w:t>, 170 FERC ¶ 61,064 at P 15 (“[O]</w:t>
      </w:r>
      <w:proofErr w:type="spellStart"/>
      <w:r w:rsidRPr="000C21D2">
        <w:t>ur</w:t>
      </w:r>
      <w:proofErr w:type="spellEnd"/>
      <w:r w:rsidRPr="000C21D2">
        <w:t xml:space="preserve"> interpretation of NGA section 7(h) merits deference.</w:t>
      </w:r>
      <w:r w:rsidRPr="000C21D2">
        <w:rPr>
          <w:vertAlign w:val="superscript"/>
        </w:rPr>
        <w:t xml:space="preserve"> </w:t>
      </w:r>
      <w:r w:rsidRPr="000C21D2">
        <w:t xml:space="preserve"> The Third Circuit’s ruling does not diminish the Commission’s authority to speak on a statute that we administer.”) (</w:t>
      </w:r>
      <w:r>
        <w:t>citations</w:t>
      </w:r>
      <w:r w:rsidRPr="000C21D2">
        <w:t xml:space="preserve"> omitted).</w:t>
      </w:r>
    </w:p>
  </w:footnote>
  <w:footnote w:id="58">
    <w:p w14:paraId="1A667A25" w14:textId="77777777" w:rsidR="00574E95" w:rsidRDefault="00574E95" w:rsidP="007C55CB">
      <w:pPr>
        <w:pStyle w:val="FootnoteText"/>
      </w:pPr>
      <w:r w:rsidRPr="003F4882">
        <w:rPr>
          <w:rStyle w:val="FootnoteReference"/>
        </w:rPr>
        <w:footnoteRef/>
      </w:r>
      <w:r>
        <w:t xml:space="preserve"> Landowners &amp; </w:t>
      </w:r>
      <w:proofErr w:type="spellStart"/>
      <w:r>
        <w:t>Niskanen</w:t>
      </w:r>
      <w:proofErr w:type="spellEnd"/>
      <w:r>
        <w:t xml:space="preserve"> Center December 17, 2021 Request for Rehearing at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1D9B1" w14:textId="77777777" w:rsidR="005F79B0" w:rsidRDefault="005F79B0"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2E991DEA" w14:textId="77777777" w:rsidR="005F79B0" w:rsidRDefault="005F79B0"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2A008" w14:textId="782D32DC" w:rsidR="005F79B0" w:rsidRDefault="005F79B0" w:rsidP="007A6C67">
    <w:pPr>
      <w:pStyle w:val="Header"/>
      <w:tabs>
        <w:tab w:val="clear" w:pos="4680"/>
      </w:tabs>
      <w:spacing w:after="240"/>
    </w:pPr>
    <w:r>
      <w:t xml:space="preserve">Docket No. CP17-40-012 </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D9B04" w14:textId="14E7ECB1" w:rsidR="005F79B0" w:rsidRDefault="005F79B0"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229C66B1"/>
    <w:multiLevelType w:val="hybridMultilevel"/>
    <w:tmpl w:val="013EE290"/>
    <w:lvl w:ilvl="0" w:tplc="D18C74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7549D4"/>
    <w:multiLevelType w:val="hybridMultilevel"/>
    <w:tmpl w:val="06DCA74E"/>
    <w:lvl w:ilvl="0" w:tplc="BABAFD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D7D68"/>
    <w:multiLevelType w:val="hybridMultilevel"/>
    <w:tmpl w:val="DCE0308A"/>
    <w:lvl w:ilvl="0" w:tplc="C63472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7C32FD"/>
    <w:multiLevelType w:val="hybridMultilevel"/>
    <w:tmpl w:val="013EE290"/>
    <w:lvl w:ilvl="0" w:tplc="D18C74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502FF"/>
    <w:multiLevelType w:val="multilevel"/>
    <w:tmpl w:val="6228F20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1" w15:restartNumberingAfterBreak="0">
    <w:nsid w:val="5E52390A"/>
    <w:multiLevelType w:val="hybridMultilevel"/>
    <w:tmpl w:val="013EE290"/>
    <w:lvl w:ilvl="0" w:tplc="D18C74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4" w15:restartNumberingAfterBreak="0">
    <w:nsid w:val="7C521ACE"/>
    <w:multiLevelType w:val="hybridMultilevel"/>
    <w:tmpl w:val="91AE2964"/>
    <w:lvl w:ilvl="0" w:tplc="D18C748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2"/>
  </w:num>
  <w:num w:numId="13">
    <w:abstractNumId w:val="13"/>
  </w:num>
  <w:num w:numId="14">
    <w:abstractNumId w:val="23"/>
  </w:num>
  <w:num w:numId="15">
    <w:abstractNumId w:val="2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6"/>
  </w:num>
  <w:num w:numId="22">
    <w:abstractNumId w:val="17"/>
  </w:num>
  <w:num w:numId="23">
    <w:abstractNumId w:val="18"/>
  </w:num>
  <w:num w:numId="24">
    <w:abstractNumId w:val="24"/>
  </w:num>
  <w:num w:numId="25">
    <w:abstractNumId w:val="21"/>
  </w:num>
  <w:num w:numId="26">
    <w:abstractNumId w:val="16"/>
  </w:num>
  <w:num w:numId="27">
    <w:abstractNumId w:val="15"/>
  </w:num>
  <w:num w:numId="28">
    <w:abstractNumId w:val="20"/>
  </w:num>
  <w:num w:numId="29">
    <w:abstractNumId w:val="19"/>
  </w:num>
  <w:num w:numId="30">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67"/>
    <w:rsid w:val="00001D7F"/>
    <w:rsid w:val="0000327B"/>
    <w:rsid w:val="00003340"/>
    <w:rsid w:val="0000640E"/>
    <w:rsid w:val="0000731D"/>
    <w:rsid w:val="00010FA6"/>
    <w:rsid w:val="000118C8"/>
    <w:rsid w:val="00012953"/>
    <w:rsid w:val="000143AA"/>
    <w:rsid w:val="0001586C"/>
    <w:rsid w:val="0002042F"/>
    <w:rsid w:val="00022A33"/>
    <w:rsid w:val="0002355F"/>
    <w:rsid w:val="00024857"/>
    <w:rsid w:val="00026815"/>
    <w:rsid w:val="000305EF"/>
    <w:rsid w:val="00030644"/>
    <w:rsid w:val="0003180F"/>
    <w:rsid w:val="0003382F"/>
    <w:rsid w:val="00041E3F"/>
    <w:rsid w:val="000426AF"/>
    <w:rsid w:val="000428C4"/>
    <w:rsid w:val="000431B3"/>
    <w:rsid w:val="0004337C"/>
    <w:rsid w:val="00044787"/>
    <w:rsid w:val="0004624A"/>
    <w:rsid w:val="00047330"/>
    <w:rsid w:val="00050FFC"/>
    <w:rsid w:val="0005135D"/>
    <w:rsid w:val="00052231"/>
    <w:rsid w:val="000550DC"/>
    <w:rsid w:val="00055851"/>
    <w:rsid w:val="00055F5F"/>
    <w:rsid w:val="00057235"/>
    <w:rsid w:val="0006117F"/>
    <w:rsid w:val="00062732"/>
    <w:rsid w:val="0006335D"/>
    <w:rsid w:val="000639A6"/>
    <w:rsid w:val="0006475A"/>
    <w:rsid w:val="0006785D"/>
    <w:rsid w:val="00070857"/>
    <w:rsid w:val="00072B6C"/>
    <w:rsid w:val="000735AC"/>
    <w:rsid w:val="0007377C"/>
    <w:rsid w:val="000740F6"/>
    <w:rsid w:val="0007636C"/>
    <w:rsid w:val="00077EAB"/>
    <w:rsid w:val="00082D9E"/>
    <w:rsid w:val="0008478C"/>
    <w:rsid w:val="00084A31"/>
    <w:rsid w:val="00086D98"/>
    <w:rsid w:val="0008778D"/>
    <w:rsid w:val="00092634"/>
    <w:rsid w:val="000926F9"/>
    <w:rsid w:val="000958A9"/>
    <w:rsid w:val="00097C05"/>
    <w:rsid w:val="000A3D2F"/>
    <w:rsid w:val="000A6177"/>
    <w:rsid w:val="000A6835"/>
    <w:rsid w:val="000A798E"/>
    <w:rsid w:val="000B3F5E"/>
    <w:rsid w:val="000B4124"/>
    <w:rsid w:val="000B7E62"/>
    <w:rsid w:val="000C0253"/>
    <w:rsid w:val="000C0353"/>
    <w:rsid w:val="000C1FCA"/>
    <w:rsid w:val="000C4A0B"/>
    <w:rsid w:val="000C6869"/>
    <w:rsid w:val="000C6FC8"/>
    <w:rsid w:val="000C7C36"/>
    <w:rsid w:val="000D0EE6"/>
    <w:rsid w:val="000D1D4B"/>
    <w:rsid w:val="000D1FB6"/>
    <w:rsid w:val="000D3AB6"/>
    <w:rsid w:val="000D5E2A"/>
    <w:rsid w:val="000D739B"/>
    <w:rsid w:val="000D7DD4"/>
    <w:rsid w:val="000D7E96"/>
    <w:rsid w:val="000E0095"/>
    <w:rsid w:val="000E065C"/>
    <w:rsid w:val="000E0857"/>
    <w:rsid w:val="000E0FB3"/>
    <w:rsid w:val="000E2BFA"/>
    <w:rsid w:val="000E4BBC"/>
    <w:rsid w:val="000F01EB"/>
    <w:rsid w:val="000F1ED3"/>
    <w:rsid w:val="000F2A76"/>
    <w:rsid w:val="000F2BD5"/>
    <w:rsid w:val="000F2DC1"/>
    <w:rsid w:val="000F372C"/>
    <w:rsid w:val="000F603B"/>
    <w:rsid w:val="000F6403"/>
    <w:rsid w:val="000F6C7F"/>
    <w:rsid w:val="00100E1B"/>
    <w:rsid w:val="00101107"/>
    <w:rsid w:val="00102736"/>
    <w:rsid w:val="0010290F"/>
    <w:rsid w:val="00104F76"/>
    <w:rsid w:val="0010585F"/>
    <w:rsid w:val="001063F5"/>
    <w:rsid w:val="0010764A"/>
    <w:rsid w:val="001139AB"/>
    <w:rsid w:val="00114B88"/>
    <w:rsid w:val="001179C0"/>
    <w:rsid w:val="00120603"/>
    <w:rsid w:val="001209EF"/>
    <w:rsid w:val="001236E4"/>
    <w:rsid w:val="00123E1F"/>
    <w:rsid w:val="00124C66"/>
    <w:rsid w:val="0012561A"/>
    <w:rsid w:val="0012713F"/>
    <w:rsid w:val="00127478"/>
    <w:rsid w:val="001279B9"/>
    <w:rsid w:val="00130563"/>
    <w:rsid w:val="00130CCE"/>
    <w:rsid w:val="001322A7"/>
    <w:rsid w:val="00132D57"/>
    <w:rsid w:val="001343A6"/>
    <w:rsid w:val="0013453F"/>
    <w:rsid w:val="00134B57"/>
    <w:rsid w:val="001407C6"/>
    <w:rsid w:val="00141B5E"/>
    <w:rsid w:val="001421AA"/>
    <w:rsid w:val="001456E6"/>
    <w:rsid w:val="00146074"/>
    <w:rsid w:val="00146A50"/>
    <w:rsid w:val="0015022C"/>
    <w:rsid w:val="00150F13"/>
    <w:rsid w:val="001520D4"/>
    <w:rsid w:val="001549DE"/>
    <w:rsid w:val="00154C7A"/>
    <w:rsid w:val="00156970"/>
    <w:rsid w:val="001634D3"/>
    <w:rsid w:val="0016531B"/>
    <w:rsid w:val="00166022"/>
    <w:rsid w:val="00167152"/>
    <w:rsid w:val="00167C08"/>
    <w:rsid w:val="0017011E"/>
    <w:rsid w:val="00171BEA"/>
    <w:rsid w:val="00171DEC"/>
    <w:rsid w:val="001726A2"/>
    <w:rsid w:val="00174E6F"/>
    <w:rsid w:val="0017696A"/>
    <w:rsid w:val="0017701D"/>
    <w:rsid w:val="00177D96"/>
    <w:rsid w:val="00181035"/>
    <w:rsid w:val="00181DD0"/>
    <w:rsid w:val="0018680E"/>
    <w:rsid w:val="0018758C"/>
    <w:rsid w:val="00191617"/>
    <w:rsid w:val="0019221C"/>
    <w:rsid w:val="001922E2"/>
    <w:rsid w:val="0019292E"/>
    <w:rsid w:val="001960DD"/>
    <w:rsid w:val="001A2AF1"/>
    <w:rsid w:val="001A33D6"/>
    <w:rsid w:val="001A4A4A"/>
    <w:rsid w:val="001A563A"/>
    <w:rsid w:val="001B042B"/>
    <w:rsid w:val="001B1FE9"/>
    <w:rsid w:val="001B2C6D"/>
    <w:rsid w:val="001B2DF9"/>
    <w:rsid w:val="001B362D"/>
    <w:rsid w:val="001B3AE0"/>
    <w:rsid w:val="001B44E6"/>
    <w:rsid w:val="001B48BF"/>
    <w:rsid w:val="001B4FB2"/>
    <w:rsid w:val="001B6168"/>
    <w:rsid w:val="001C2FBB"/>
    <w:rsid w:val="001C4C51"/>
    <w:rsid w:val="001C4C8E"/>
    <w:rsid w:val="001C4EB5"/>
    <w:rsid w:val="001C6039"/>
    <w:rsid w:val="001C6618"/>
    <w:rsid w:val="001C79A0"/>
    <w:rsid w:val="001D1DEB"/>
    <w:rsid w:val="001D264B"/>
    <w:rsid w:val="001D3B0D"/>
    <w:rsid w:val="001D7927"/>
    <w:rsid w:val="001D7DF4"/>
    <w:rsid w:val="001E290C"/>
    <w:rsid w:val="001E5457"/>
    <w:rsid w:val="001E59F9"/>
    <w:rsid w:val="001E7A8F"/>
    <w:rsid w:val="001F2D00"/>
    <w:rsid w:val="001F51A0"/>
    <w:rsid w:val="001F5CC6"/>
    <w:rsid w:val="001F7214"/>
    <w:rsid w:val="001F724F"/>
    <w:rsid w:val="0020169A"/>
    <w:rsid w:val="00202BC3"/>
    <w:rsid w:val="00202D37"/>
    <w:rsid w:val="00203911"/>
    <w:rsid w:val="00204EB7"/>
    <w:rsid w:val="002072CF"/>
    <w:rsid w:val="00211765"/>
    <w:rsid w:val="00212B12"/>
    <w:rsid w:val="002136E7"/>
    <w:rsid w:val="002206DB"/>
    <w:rsid w:val="002215B9"/>
    <w:rsid w:val="0022182D"/>
    <w:rsid w:val="002247BC"/>
    <w:rsid w:val="00224859"/>
    <w:rsid w:val="00225A12"/>
    <w:rsid w:val="002261B3"/>
    <w:rsid w:val="002318B6"/>
    <w:rsid w:val="00232FD3"/>
    <w:rsid w:val="00233CEF"/>
    <w:rsid w:val="00233FD0"/>
    <w:rsid w:val="002352B0"/>
    <w:rsid w:val="002354E4"/>
    <w:rsid w:val="00240493"/>
    <w:rsid w:val="002464E8"/>
    <w:rsid w:val="0024710C"/>
    <w:rsid w:val="00251AAC"/>
    <w:rsid w:val="00253776"/>
    <w:rsid w:val="00255417"/>
    <w:rsid w:val="00257830"/>
    <w:rsid w:val="00257915"/>
    <w:rsid w:val="00257989"/>
    <w:rsid w:val="00260517"/>
    <w:rsid w:val="00261CC4"/>
    <w:rsid w:val="00261D13"/>
    <w:rsid w:val="00262FED"/>
    <w:rsid w:val="002648E7"/>
    <w:rsid w:val="00267328"/>
    <w:rsid w:val="0027202D"/>
    <w:rsid w:val="00274963"/>
    <w:rsid w:val="00277320"/>
    <w:rsid w:val="002817CE"/>
    <w:rsid w:val="00283AA6"/>
    <w:rsid w:val="0028432C"/>
    <w:rsid w:val="00284AA2"/>
    <w:rsid w:val="00284E46"/>
    <w:rsid w:val="002857E2"/>
    <w:rsid w:val="002870A9"/>
    <w:rsid w:val="00290ABD"/>
    <w:rsid w:val="002A0B4A"/>
    <w:rsid w:val="002A34C1"/>
    <w:rsid w:val="002A5C43"/>
    <w:rsid w:val="002A729E"/>
    <w:rsid w:val="002A7FB5"/>
    <w:rsid w:val="002B0981"/>
    <w:rsid w:val="002B1209"/>
    <w:rsid w:val="002B12E2"/>
    <w:rsid w:val="002B2388"/>
    <w:rsid w:val="002B262D"/>
    <w:rsid w:val="002B35F2"/>
    <w:rsid w:val="002B6125"/>
    <w:rsid w:val="002B7DAE"/>
    <w:rsid w:val="002C57E5"/>
    <w:rsid w:val="002C7704"/>
    <w:rsid w:val="002D1528"/>
    <w:rsid w:val="002D206A"/>
    <w:rsid w:val="002D24A3"/>
    <w:rsid w:val="002D33D5"/>
    <w:rsid w:val="002D358E"/>
    <w:rsid w:val="002D4DE8"/>
    <w:rsid w:val="002D65B3"/>
    <w:rsid w:val="002D7D6B"/>
    <w:rsid w:val="002E4E8A"/>
    <w:rsid w:val="002E5871"/>
    <w:rsid w:val="002E6D49"/>
    <w:rsid w:val="002E708F"/>
    <w:rsid w:val="002F01CA"/>
    <w:rsid w:val="002F52A9"/>
    <w:rsid w:val="00301D68"/>
    <w:rsid w:val="003031DA"/>
    <w:rsid w:val="00303983"/>
    <w:rsid w:val="0030433E"/>
    <w:rsid w:val="00305044"/>
    <w:rsid w:val="00312651"/>
    <w:rsid w:val="00313634"/>
    <w:rsid w:val="0031491C"/>
    <w:rsid w:val="003162AA"/>
    <w:rsid w:val="00322F05"/>
    <w:rsid w:val="00324A44"/>
    <w:rsid w:val="00324F79"/>
    <w:rsid w:val="00326A7D"/>
    <w:rsid w:val="00327401"/>
    <w:rsid w:val="003301AC"/>
    <w:rsid w:val="003318E9"/>
    <w:rsid w:val="003346EB"/>
    <w:rsid w:val="00335933"/>
    <w:rsid w:val="003370E4"/>
    <w:rsid w:val="003437BD"/>
    <w:rsid w:val="003437E6"/>
    <w:rsid w:val="00343D67"/>
    <w:rsid w:val="00346F35"/>
    <w:rsid w:val="003478CF"/>
    <w:rsid w:val="00350C67"/>
    <w:rsid w:val="00350E98"/>
    <w:rsid w:val="00350FC8"/>
    <w:rsid w:val="003520AD"/>
    <w:rsid w:val="00356059"/>
    <w:rsid w:val="00356733"/>
    <w:rsid w:val="00356856"/>
    <w:rsid w:val="003608E7"/>
    <w:rsid w:val="003609B9"/>
    <w:rsid w:val="00360AA1"/>
    <w:rsid w:val="00361BE4"/>
    <w:rsid w:val="003648F4"/>
    <w:rsid w:val="00364E6F"/>
    <w:rsid w:val="0036500A"/>
    <w:rsid w:val="00365E7F"/>
    <w:rsid w:val="00366622"/>
    <w:rsid w:val="0037102B"/>
    <w:rsid w:val="00374532"/>
    <w:rsid w:val="00374868"/>
    <w:rsid w:val="00375DF4"/>
    <w:rsid w:val="00376313"/>
    <w:rsid w:val="0038217B"/>
    <w:rsid w:val="00382578"/>
    <w:rsid w:val="0038262F"/>
    <w:rsid w:val="00383004"/>
    <w:rsid w:val="003830CE"/>
    <w:rsid w:val="00385E2D"/>
    <w:rsid w:val="0039262E"/>
    <w:rsid w:val="003937F3"/>
    <w:rsid w:val="00396BA2"/>
    <w:rsid w:val="003A15D6"/>
    <w:rsid w:val="003A1ED4"/>
    <w:rsid w:val="003A2C2A"/>
    <w:rsid w:val="003A5145"/>
    <w:rsid w:val="003A73E9"/>
    <w:rsid w:val="003A7C3E"/>
    <w:rsid w:val="003B2005"/>
    <w:rsid w:val="003B2445"/>
    <w:rsid w:val="003B55B5"/>
    <w:rsid w:val="003B6A5F"/>
    <w:rsid w:val="003B7CDF"/>
    <w:rsid w:val="003B7E9A"/>
    <w:rsid w:val="003B7F05"/>
    <w:rsid w:val="003C0FC7"/>
    <w:rsid w:val="003C3A1E"/>
    <w:rsid w:val="003C505B"/>
    <w:rsid w:val="003C665E"/>
    <w:rsid w:val="003C6F0F"/>
    <w:rsid w:val="003C71CF"/>
    <w:rsid w:val="003C789D"/>
    <w:rsid w:val="003D4A56"/>
    <w:rsid w:val="003D5827"/>
    <w:rsid w:val="003D6552"/>
    <w:rsid w:val="003D72EF"/>
    <w:rsid w:val="003D7B2C"/>
    <w:rsid w:val="003D7F32"/>
    <w:rsid w:val="003E06E4"/>
    <w:rsid w:val="003E1917"/>
    <w:rsid w:val="003E1980"/>
    <w:rsid w:val="003E259A"/>
    <w:rsid w:val="003E2CC8"/>
    <w:rsid w:val="003E5211"/>
    <w:rsid w:val="003E7273"/>
    <w:rsid w:val="003F06CB"/>
    <w:rsid w:val="003F1560"/>
    <w:rsid w:val="003F2EBA"/>
    <w:rsid w:val="003F31D2"/>
    <w:rsid w:val="003F3716"/>
    <w:rsid w:val="003F3DC0"/>
    <w:rsid w:val="003F4845"/>
    <w:rsid w:val="003F4DBE"/>
    <w:rsid w:val="003F557E"/>
    <w:rsid w:val="003F7CC5"/>
    <w:rsid w:val="00400D68"/>
    <w:rsid w:val="00401A63"/>
    <w:rsid w:val="00405C71"/>
    <w:rsid w:val="004067AD"/>
    <w:rsid w:val="00407EE0"/>
    <w:rsid w:val="004109C8"/>
    <w:rsid w:val="00414806"/>
    <w:rsid w:val="004155BF"/>
    <w:rsid w:val="00416193"/>
    <w:rsid w:val="0041694E"/>
    <w:rsid w:val="00421FF4"/>
    <w:rsid w:val="0042340F"/>
    <w:rsid w:val="00424B78"/>
    <w:rsid w:val="004269B7"/>
    <w:rsid w:val="004335E8"/>
    <w:rsid w:val="00436A3E"/>
    <w:rsid w:val="00436F27"/>
    <w:rsid w:val="00440D78"/>
    <w:rsid w:val="0044193C"/>
    <w:rsid w:val="00441A2A"/>
    <w:rsid w:val="004420F6"/>
    <w:rsid w:val="0044359A"/>
    <w:rsid w:val="00443CC6"/>
    <w:rsid w:val="00444F65"/>
    <w:rsid w:val="004476C6"/>
    <w:rsid w:val="0045130C"/>
    <w:rsid w:val="00453578"/>
    <w:rsid w:val="00454A58"/>
    <w:rsid w:val="00455214"/>
    <w:rsid w:val="00456136"/>
    <w:rsid w:val="00456D5A"/>
    <w:rsid w:val="00460C16"/>
    <w:rsid w:val="0046133D"/>
    <w:rsid w:val="004632CC"/>
    <w:rsid w:val="00466DB7"/>
    <w:rsid w:val="0047008F"/>
    <w:rsid w:val="004719B0"/>
    <w:rsid w:val="00472C9B"/>
    <w:rsid w:val="00473A5E"/>
    <w:rsid w:val="00474B3B"/>
    <w:rsid w:val="004758A9"/>
    <w:rsid w:val="00476273"/>
    <w:rsid w:val="00476469"/>
    <w:rsid w:val="00476963"/>
    <w:rsid w:val="00477399"/>
    <w:rsid w:val="00477875"/>
    <w:rsid w:val="00477EA4"/>
    <w:rsid w:val="0048020B"/>
    <w:rsid w:val="00484C86"/>
    <w:rsid w:val="004864DA"/>
    <w:rsid w:val="004872BC"/>
    <w:rsid w:val="004874A4"/>
    <w:rsid w:val="00494355"/>
    <w:rsid w:val="00494945"/>
    <w:rsid w:val="00495E07"/>
    <w:rsid w:val="00497F70"/>
    <w:rsid w:val="004A03E5"/>
    <w:rsid w:val="004A503D"/>
    <w:rsid w:val="004A5068"/>
    <w:rsid w:val="004A53A8"/>
    <w:rsid w:val="004A5B27"/>
    <w:rsid w:val="004A74FE"/>
    <w:rsid w:val="004B002B"/>
    <w:rsid w:val="004B1239"/>
    <w:rsid w:val="004B141F"/>
    <w:rsid w:val="004B41AB"/>
    <w:rsid w:val="004B44AE"/>
    <w:rsid w:val="004B4A8D"/>
    <w:rsid w:val="004C0E28"/>
    <w:rsid w:val="004C190E"/>
    <w:rsid w:val="004C2282"/>
    <w:rsid w:val="004C456B"/>
    <w:rsid w:val="004C4D5F"/>
    <w:rsid w:val="004D35E8"/>
    <w:rsid w:val="004D614C"/>
    <w:rsid w:val="004E039B"/>
    <w:rsid w:val="004E1DAE"/>
    <w:rsid w:val="004E25A6"/>
    <w:rsid w:val="004E60C4"/>
    <w:rsid w:val="004E688D"/>
    <w:rsid w:val="004E773C"/>
    <w:rsid w:val="004F28BB"/>
    <w:rsid w:val="004F4CB1"/>
    <w:rsid w:val="004F5759"/>
    <w:rsid w:val="004F59B2"/>
    <w:rsid w:val="004F6296"/>
    <w:rsid w:val="004F6475"/>
    <w:rsid w:val="0050001C"/>
    <w:rsid w:val="00502708"/>
    <w:rsid w:val="005040D1"/>
    <w:rsid w:val="005047DF"/>
    <w:rsid w:val="00504DCC"/>
    <w:rsid w:val="00505645"/>
    <w:rsid w:val="00507AC2"/>
    <w:rsid w:val="00513E14"/>
    <w:rsid w:val="005154C1"/>
    <w:rsid w:val="005162AB"/>
    <w:rsid w:val="0051653B"/>
    <w:rsid w:val="005166C3"/>
    <w:rsid w:val="00521122"/>
    <w:rsid w:val="005218D1"/>
    <w:rsid w:val="0052351B"/>
    <w:rsid w:val="00523598"/>
    <w:rsid w:val="00531798"/>
    <w:rsid w:val="00532CB5"/>
    <w:rsid w:val="0053464F"/>
    <w:rsid w:val="00534FDD"/>
    <w:rsid w:val="00541146"/>
    <w:rsid w:val="005427A7"/>
    <w:rsid w:val="00542814"/>
    <w:rsid w:val="00544128"/>
    <w:rsid w:val="00545CC2"/>
    <w:rsid w:val="00546238"/>
    <w:rsid w:val="00547068"/>
    <w:rsid w:val="005475BE"/>
    <w:rsid w:val="00547D3F"/>
    <w:rsid w:val="00550044"/>
    <w:rsid w:val="00552271"/>
    <w:rsid w:val="00552A11"/>
    <w:rsid w:val="005550A6"/>
    <w:rsid w:val="005553C9"/>
    <w:rsid w:val="00557688"/>
    <w:rsid w:val="005577D9"/>
    <w:rsid w:val="00561DA8"/>
    <w:rsid w:val="00562CB2"/>
    <w:rsid w:val="00565D1A"/>
    <w:rsid w:val="00570CBB"/>
    <w:rsid w:val="00571D6D"/>
    <w:rsid w:val="00572F46"/>
    <w:rsid w:val="00574A02"/>
    <w:rsid w:val="00574E95"/>
    <w:rsid w:val="00576A54"/>
    <w:rsid w:val="00577DC6"/>
    <w:rsid w:val="005816F4"/>
    <w:rsid w:val="00581BDF"/>
    <w:rsid w:val="00583257"/>
    <w:rsid w:val="00583B10"/>
    <w:rsid w:val="00584B9C"/>
    <w:rsid w:val="00585174"/>
    <w:rsid w:val="0059038C"/>
    <w:rsid w:val="005921E2"/>
    <w:rsid w:val="00594E87"/>
    <w:rsid w:val="005950E5"/>
    <w:rsid w:val="00597309"/>
    <w:rsid w:val="00597734"/>
    <w:rsid w:val="005A1772"/>
    <w:rsid w:val="005A2042"/>
    <w:rsid w:val="005A4CD3"/>
    <w:rsid w:val="005A5702"/>
    <w:rsid w:val="005A6F7C"/>
    <w:rsid w:val="005B07EF"/>
    <w:rsid w:val="005B132F"/>
    <w:rsid w:val="005B15EB"/>
    <w:rsid w:val="005B1721"/>
    <w:rsid w:val="005B18B2"/>
    <w:rsid w:val="005B1F9A"/>
    <w:rsid w:val="005B2E1C"/>
    <w:rsid w:val="005B40A6"/>
    <w:rsid w:val="005C0180"/>
    <w:rsid w:val="005C01B7"/>
    <w:rsid w:val="005C28F5"/>
    <w:rsid w:val="005C4955"/>
    <w:rsid w:val="005C523E"/>
    <w:rsid w:val="005C7EE7"/>
    <w:rsid w:val="005D2A79"/>
    <w:rsid w:val="005D3004"/>
    <w:rsid w:val="005D3D39"/>
    <w:rsid w:val="005D787E"/>
    <w:rsid w:val="005D7C39"/>
    <w:rsid w:val="005E13DF"/>
    <w:rsid w:val="005E387D"/>
    <w:rsid w:val="005E3B75"/>
    <w:rsid w:val="005E3D15"/>
    <w:rsid w:val="005E4C65"/>
    <w:rsid w:val="005E52EC"/>
    <w:rsid w:val="005E5DFC"/>
    <w:rsid w:val="005E73AE"/>
    <w:rsid w:val="005F2946"/>
    <w:rsid w:val="005F34C6"/>
    <w:rsid w:val="005F4318"/>
    <w:rsid w:val="005F4F8E"/>
    <w:rsid w:val="005F54A4"/>
    <w:rsid w:val="005F59F5"/>
    <w:rsid w:val="005F5B64"/>
    <w:rsid w:val="005F5FF1"/>
    <w:rsid w:val="005F71D1"/>
    <w:rsid w:val="005F79B0"/>
    <w:rsid w:val="0060035F"/>
    <w:rsid w:val="00605729"/>
    <w:rsid w:val="00607205"/>
    <w:rsid w:val="006074E4"/>
    <w:rsid w:val="00607C63"/>
    <w:rsid w:val="006112D1"/>
    <w:rsid w:val="006112FA"/>
    <w:rsid w:val="006177F8"/>
    <w:rsid w:val="00620205"/>
    <w:rsid w:val="00622345"/>
    <w:rsid w:val="00622D42"/>
    <w:rsid w:val="00622F63"/>
    <w:rsid w:val="00623402"/>
    <w:rsid w:val="00624B34"/>
    <w:rsid w:val="00625B93"/>
    <w:rsid w:val="0062671F"/>
    <w:rsid w:val="0062673E"/>
    <w:rsid w:val="00626AD6"/>
    <w:rsid w:val="006308E9"/>
    <w:rsid w:val="00633563"/>
    <w:rsid w:val="00636271"/>
    <w:rsid w:val="00637D90"/>
    <w:rsid w:val="00642B10"/>
    <w:rsid w:val="00643C5A"/>
    <w:rsid w:val="00647260"/>
    <w:rsid w:val="006502FA"/>
    <w:rsid w:val="006511C4"/>
    <w:rsid w:val="006533AB"/>
    <w:rsid w:val="00653AD1"/>
    <w:rsid w:val="00653D8D"/>
    <w:rsid w:val="00655A79"/>
    <w:rsid w:val="006619FE"/>
    <w:rsid w:val="00662BC9"/>
    <w:rsid w:val="00663D5A"/>
    <w:rsid w:val="00664202"/>
    <w:rsid w:val="00664924"/>
    <w:rsid w:val="00667B22"/>
    <w:rsid w:val="006708DC"/>
    <w:rsid w:val="006710C1"/>
    <w:rsid w:val="0067304E"/>
    <w:rsid w:val="006745E5"/>
    <w:rsid w:val="00677A0E"/>
    <w:rsid w:val="00681181"/>
    <w:rsid w:val="00682099"/>
    <w:rsid w:val="006830C1"/>
    <w:rsid w:val="006840C9"/>
    <w:rsid w:val="00685A22"/>
    <w:rsid w:val="006934C5"/>
    <w:rsid w:val="00694F3D"/>
    <w:rsid w:val="006A18B6"/>
    <w:rsid w:val="006A1EDC"/>
    <w:rsid w:val="006A4342"/>
    <w:rsid w:val="006A4DBB"/>
    <w:rsid w:val="006A5B0F"/>
    <w:rsid w:val="006A5ED6"/>
    <w:rsid w:val="006A5FF3"/>
    <w:rsid w:val="006B20EE"/>
    <w:rsid w:val="006B45CC"/>
    <w:rsid w:val="006B4826"/>
    <w:rsid w:val="006B50BA"/>
    <w:rsid w:val="006B5402"/>
    <w:rsid w:val="006B5B8D"/>
    <w:rsid w:val="006C1614"/>
    <w:rsid w:val="006C1D8C"/>
    <w:rsid w:val="006C51D5"/>
    <w:rsid w:val="006D04E8"/>
    <w:rsid w:val="006D1E49"/>
    <w:rsid w:val="006D3F2D"/>
    <w:rsid w:val="006D432E"/>
    <w:rsid w:val="006D5B0E"/>
    <w:rsid w:val="006E1A3B"/>
    <w:rsid w:val="006E1CF4"/>
    <w:rsid w:val="006E4894"/>
    <w:rsid w:val="006E6044"/>
    <w:rsid w:val="006F0AFA"/>
    <w:rsid w:val="006F1B52"/>
    <w:rsid w:val="006F27A6"/>
    <w:rsid w:val="006F2BC3"/>
    <w:rsid w:val="006F39A4"/>
    <w:rsid w:val="006F42DE"/>
    <w:rsid w:val="007006BB"/>
    <w:rsid w:val="00705B33"/>
    <w:rsid w:val="0070615E"/>
    <w:rsid w:val="00706C4B"/>
    <w:rsid w:val="00710A58"/>
    <w:rsid w:val="007116AC"/>
    <w:rsid w:val="00712264"/>
    <w:rsid w:val="007124A2"/>
    <w:rsid w:val="007127A9"/>
    <w:rsid w:val="007132BD"/>
    <w:rsid w:val="007133ED"/>
    <w:rsid w:val="00715422"/>
    <w:rsid w:val="007175FC"/>
    <w:rsid w:val="00717EA5"/>
    <w:rsid w:val="007230D6"/>
    <w:rsid w:val="00723E4B"/>
    <w:rsid w:val="0072431E"/>
    <w:rsid w:val="00724553"/>
    <w:rsid w:val="0072563F"/>
    <w:rsid w:val="00730556"/>
    <w:rsid w:val="00730854"/>
    <w:rsid w:val="007309C0"/>
    <w:rsid w:val="00732CFA"/>
    <w:rsid w:val="00732E2C"/>
    <w:rsid w:val="00733398"/>
    <w:rsid w:val="00733EF4"/>
    <w:rsid w:val="00734468"/>
    <w:rsid w:val="00735ECF"/>
    <w:rsid w:val="00736447"/>
    <w:rsid w:val="007368A2"/>
    <w:rsid w:val="00736DE9"/>
    <w:rsid w:val="007375C4"/>
    <w:rsid w:val="00737B11"/>
    <w:rsid w:val="00740D3D"/>
    <w:rsid w:val="00742439"/>
    <w:rsid w:val="00743A10"/>
    <w:rsid w:val="007465A9"/>
    <w:rsid w:val="00751ED8"/>
    <w:rsid w:val="00754A0D"/>
    <w:rsid w:val="007552C1"/>
    <w:rsid w:val="007562E2"/>
    <w:rsid w:val="007573F9"/>
    <w:rsid w:val="007577C2"/>
    <w:rsid w:val="00762F2B"/>
    <w:rsid w:val="0076328E"/>
    <w:rsid w:val="00765560"/>
    <w:rsid w:val="0076561E"/>
    <w:rsid w:val="00765F00"/>
    <w:rsid w:val="007660B2"/>
    <w:rsid w:val="007661B0"/>
    <w:rsid w:val="00766721"/>
    <w:rsid w:val="00772619"/>
    <w:rsid w:val="00773353"/>
    <w:rsid w:val="00774639"/>
    <w:rsid w:val="007750CB"/>
    <w:rsid w:val="007773A5"/>
    <w:rsid w:val="00780A45"/>
    <w:rsid w:val="00782FA1"/>
    <w:rsid w:val="00783842"/>
    <w:rsid w:val="007876E3"/>
    <w:rsid w:val="00791DF0"/>
    <w:rsid w:val="0079271A"/>
    <w:rsid w:val="007928AD"/>
    <w:rsid w:val="00792A34"/>
    <w:rsid w:val="00793727"/>
    <w:rsid w:val="00794724"/>
    <w:rsid w:val="00795120"/>
    <w:rsid w:val="007A0174"/>
    <w:rsid w:val="007A0BB2"/>
    <w:rsid w:val="007A32FE"/>
    <w:rsid w:val="007A4667"/>
    <w:rsid w:val="007A4B3B"/>
    <w:rsid w:val="007A5131"/>
    <w:rsid w:val="007A627C"/>
    <w:rsid w:val="007A68BC"/>
    <w:rsid w:val="007A6C67"/>
    <w:rsid w:val="007B00D5"/>
    <w:rsid w:val="007B4019"/>
    <w:rsid w:val="007B40CF"/>
    <w:rsid w:val="007B42EF"/>
    <w:rsid w:val="007B438F"/>
    <w:rsid w:val="007B642D"/>
    <w:rsid w:val="007B66A0"/>
    <w:rsid w:val="007B6E4E"/>
    <w:rsid w:val="007B71E9"/>
    <w:rsid w:val="007C0DCA"/>
    <w:rsid w:val="007C1702"/>
    <w:rsid w:val="007C24CC"/>
    <w:rsid w:val="007C41D1"/>
    <w:rsid w:val="007C48C7"/>
    <w:rsid w:val="007C69D6"/>
    <w:rsid w:val="007C78C7"/>
    <w:rsid w:val="007D2CEB"/>
    <w:rsid w:val="007D3591"/>
    <w:rsid w:val="007D6683"/>
    <w:rsid w:val="007D6A62"/>
    <w:rsid w:val="007E29E2"/>
    <w:rsid w:val="007E6167"/>
    <w:rsid w:val="007E74C5"/>
    <w:rsid w:val="007E7BEE"/>
    <w:rsid w:val="007F04CB"/>
    <w:rsid w:val="007F0E34"/>
    <w:rsid w:val="007F1746"/>
    <w:rsid w:val="007F32C6"/>
    <w:rsid w:val="007F600B"/>
    <w:rsid w:val="007F6368"/>
    <w:rsid w:val="007F75EF"/>
    <w:rsid w:val="007F7B7F"/>
    <w:rsid w:val="008007ED"/>
    <w:rsid w:val="008021A4"/>
    <w:rsid w:val="008043DE"/>
    <w:rsid w:val="00804840"/>
    <w:rsid w:val="0080498D"/>
    <w:rsid w:val="008054D3"/>
    <w:rsid w:val="0080606A"/>
    <w:rsid w:val="00806363"/>
    <w:rsid w:val="008065F0"/>
    <w:rsid w:val="00807C2F"/>
    <w:rsid w:val="00810B67"/>
    <w:rsid w:val="008129C6"/>
    <w:rsid w:val="00812E0A"/>
    <w:rsid w:val="0081352B"/>
    <w:rsid w:val="008140C1"/>
    <w:rsid w:val="00814514"/>
    <w:rsid w:val="0081480F"/>
    <w:rsid w:val="00821F39"/>
    <w:rsid w:val="008237E2"/>
    <w:rsid w:val="008255E4"/>
    <w:rsid w:val="00826185"/>
    <w:rsid w:val="00827BAD"/>
    <w:rsid w:val="00830639"/>
    <w:rsid w:val="008309C9"/>
    <w:rsid w:val="00830BC7"/>
    <w:rsid w:val="00830EB5"/>
    <w:rsid w:val="00831F40"/>
    <w:rsid w:val="008335E3"/>
    <w:rsid w:val="00834B84"/>
    <w:rsid w:val="00834DCB"/>
    <w:rsid w:val="00836673"/>
    <w:rsid w:val="00840C01"/>
    <w:rsid w:val="00840C42"/>
    <w:rsid w:val="0084167C"/>
    <w:rsid w:val="00843984"/>
    <w:rsid w:val="00843FF5"/>
    <w:rsid w:val="008444CE"/>
    <w:rsid w:val="00844AB9"/>
    <w:rsid w:val="00844F10"/>
    <w:rsid w:val="00845186"/>
    <w:rsid w:val="00845BBC"/>
    <w:rsid w:val="00847F2B"/>
    <w:rsid w:val="00850048"/>
    <w:rsid w:val="00851199"/>
    <w:rsid w:val="008513D8"/>
    <w:rsid w:val="00852C25"/>
    <w:rsid w:val="00853C9F"/>
    <w:rsid w:val="00854580"/>
    <w:rsid w:val="00854A1E"/>
    <w:rsid w:val="00855D43"/>
    <w:rsid w:val="008561D7"/>
    <w:rsid w:val="008607B4"/>
    <w:rsid w:val="00860B22"/>
    <w:rsid w:val="00861074"/>
    <w:rsid w:val="008636FC"/>
    <w:rsid w:val="00863DB6"/>
    <w:rsid w:val="00865B86"/>
    <w:rsid w:val="008662D2"/>
    <w:rsid w:val="00870368"/>
    <w:rsid w:val="00871164"/>
    <w:rsid w:val="00872D5F"/>
    <w:rsid w:val="00873BC6"/>
    <w:rsid w:val="00874FB1"/>
    <w:rsid w:val="008771F4"/>
    <w:rsid w:val="0087739F"/>
    <w:rsid w:val="00880902"/>
    <w:rsid w:val="00881E3C"/>
    <w:rsid w:val="00882963"/>
    <w:rsid w:val="0088740E"/>
    <w:rsid w:val="00890C7E"/>
    <w:rsid w:val="00891277"/>
    <w:rsid w:val="00892A4E"/>
    <w:rsid w:val="00894A27"/>
    <w:rsid w:val="00896A4C"/>
    <w:rsid w:val="00896EBA"/>
    <w:rsid w:val="00897146"/>
    <w:rsid w:val="0089797F"/>
    <w:rsid w:val="008A0EDB"/>
    <w:rsid w:val="008A1138"/>
    <w:rsid w:val="008A23C9"/>
    <w:rsid w:val="008A39F8"/>
    <w:rsid w:val="008B0B3A"/>
    <w:rsid w:val="008B113A"/>
    <w:rsid w:val="008B1C55"/>
    <w:rsid w:val="008B32A9"/>
    <w:rsid w:val="008B6C35"/>
    <w:rsid w:val="008C0083"/>
    <w:rsid w:val="008C2EDB"/>
    <w:rsid w:val="008C6C9A"/>
    <w:rsid w:val="008C701E"/>
    <w:rsid w:val="008C7681"/>
    <w:rsid w:val="008D12AB"/>
    <w:rsid w:val="008D1B64"/>
    <w:rsid w:val="008D2A54"/>
    <w:rsid w:val="008D4162"/>
    <w:rsid w:val="008D4E54"/>
    <w:rsid w:val="008D6181"/>
    <w:rsid w:val="008D7756"/>
    <w:rsid w:val="008E3A74"/>
    <w:rsid w:val="008E4C89"/>
    <w:rsid w:val="008E51AF"/>
    <w:rsid w:val="008E548A"/>
    <w:rsid w:val="008E74A2"/>
    <w:rsid w:val="008F26B4"/>
    <w:rsid w:val="008F4B82"/>
    <w:rsid w:val="008F5764"/>
    <w:rsid w:val="009006A6"/>
    <w:rsid w:val="009016D7"/>
    <w:rsid w:val="00903AC3"/>
    <w:rsid w:val="0090412E"/>
    <w:rsid w:val="00904536"/>
    <w:rsid w:val="0090478A"/>
    <w:rsid w:val="009102A7"/>
    <w:rsid w:val="00910FC4"/>
    <w:rsid w:val="00911D86"/>
    <w:rsid w:val="009144B5"/>
    <w:rsid w:val="009146F6"/>
    <w:rsid w:val="00915863"/>
    <w:rsid w:val="00916ED7"/>
    <w:rsid w:val="00922DB5"/>
    <w:rsid w:val="00922E70"/>
    <w:rsid w:val="00926E69"/>
    <w:rsid w:val="00930C5F"/>
    <w:rsid w:val="00930EF7"/>
    <w:rsid w:val="0093125C"/>
    <w:rsid w:val="009317B8"/>
    <w:rsid w:val="00931B81"/>
    <w:rsid w:val="00933913"/>
    <w:rsid w:val="009341C3"/>
    <w:rsid w:val="009360D6"/>
    <w:rsid w:val="00936282"/>
    <w:rsid w:val="00936510"/>
    <w:rsid w:val="00941336"/>
    <w:rsid w:val="009440FB"/>
    <w:rsid w:val="00944AEA"/>
    <w:rsid w:val="00944CD4"/>
    <w:rsid w:val="009455D7"/>
    <w:rsid w:val="00945E92"/>
    <w:rsid w:val="009466EE"/>
    <w:rsid w:val="0094698E"/>
    <w:rsid w:val="00946F1D"/>
    <w:rsid w:val="00951E54"/>
    <w:rsid w:val="009547B2"/>
    <w:rsid w:val="009575E1"/>
    <w:rsid w:val="0096017E"/>
    <w:rsid w:val="00960BC7"/>
    <w:rsid w:val="00962129"/>
    <w:rsid w:val="009629FA"/>
    <w:rsid w:val="009632C9"/>
    <w:rsid w:val="00964625"/>
    <w:rsid w:val="009664DB"/>
    <w:rsid w:val="009667EE"/>
    <w:rsid w:val="00970859"/>
    <w:rsid w:val="0097172D"/>
    <w:rsid w:val="009717DF"/>
    <w:rsid w:val="009720B6"/>
    <w:rsid w:val="0097316B"/>
    <w:rsid w:val="0097354A"/>
    <w:rsid w:val="00974FAA"/>
    <w:rsid w:val="00977184"/>
    <w:rsid w:val="0097718F"/>
    <w:rsid w:val="009802C9"/>
    <w:rsid w:val="00985ABF"/>
    <w:rsid w:val="00986EEB"/>
    <w:rsid w:val="00991685"/>
    <w:rsid w:val="00992687"/>
    <w:rsid w:val="009927FA"/>
    <w:rsid w:val="009936E8"/>
    <w:rsid w:val="0099497D"/>
    <w:rsid w:val="009967F2"/>
    <w:rsid w:val="00997790"/>
    <w:rsid w:val="009A2825"/>
    <w:rsid w:val="009A3C9A"/>
    <w:rsid w:val="009A66D0"/>
    <w:rsid w:val="009B01FC"/>
    <w:rsid w:val="009B09A8"/>
    <w:rsid w:val="009B1BFE"/>
    <w:rsid w:val="009B7367"/>
    <w:rsid w:val="009B7615"/>
    <w:rsid w:val="009C6AA6"/>
    <w:rsid w:val="009D2F2B"/>
    <w:rsid w:val="009D3F76"/>
    <w:rsid w:val="009D413D"/>
    <w:rsid w:val="009D6663"/>
    <w:rsid w:val="009D70B9"/>
    <w:rsid w:val="009E0020"/>
    <w:rsid w:val="009E0EA2"/>
    <w:rsid w:val="009E214D"/>
    <w:rsid w:val="009E28EC"/>
    <w:rsid w:val="009E2AC5"/>
    <w:rsid w:val="009E315A"/>
    <w:rsid w:val="009E4841"/>
    <w:rsid w:val="009E78E7"/>
    <w:rsid w:val="009E7983"/>
    <w:rsid w:val="009E7BFE"/>
    <w:rsid w:val="009F2E31"/>
    <w:rsid w:val="009F38DC"/>
    <w:rsid w:val="009F3F1F"/>
    <w:rsid w:val="009F4EC7"/>
    <w:rsid w:val="009F4FB3"/>
    <w:rsid w:val="009F5683"/>
    <w:rsid w:val="009F596D"/>
    <w:rsid w:val="009F5E88"/>
    <w:rsid w:val="009F60C1"/>
    <w:rsid w:val="009F71D1"/>
    <w:rsid w:val="00A00DD6"/>
    <w:rsid w:val="00A017BA"/>
    <w:rsid w:val="00A01EFD"/>
    <w:rsid w:val="00A026DF"/>
    <w:rsid w:val="00A033F1"/>
    <w:rsid w:val="00A03A5F"/>
    <w:rsid w:val="00A04100"/>
    <w:rsid w:val="00A066DE"/>
    <w:rsid w:val="00A067F5"/>
    <w:rsid w:val="00A06A60"/>
    <w:rsid w:val="00A075C8"/>
    <w:rsid w:val="00A10B65"/>
    <w:rsid w:val="00A141E5"/>
    <w:rsid w:val="00A15581"/>
    <w:rsid w:val="00A1593F"/>
    <w:rsid w:val="00A15B57"/>
    <w:rsid w:val="00A21F92"/>
    <w:rsid w:val="00A24A59"/>
    <w:rsid w:val="00A2536F"/>
    <w:rsid w:val="00A25E62"/>
    <w:rsid w:val="00A263F4"/>
    <w:rsid w:val="00A26AF6"/>
    <w:rsid w:val="00A30AF9"/>
    <w:rsid w:val="00A30DB3"/>
    <w:rsid w:val="00A344A6"/>
    <w:rsid w:val="00A34966"/>
    <w:rsid w:val="00A35708"/>
    <w:rsid w:val="00A36EDB"/>
    <w:rsid w:val="00A370E9"/>
    <w:rsid w:val="00A37557"/>
    <w:rsid w:val="00A403E9"/>
    <w:rsid w:val="00A406DC"/>
    <w:rsid w:val="00A41119"/>
    <w:rsid w:val="00A4347E"/>
    <w:rsid w:val="00A43646"/>
    <w:rsid w:val="00A4381E"/>
    <w:rsid w:val="00A4630E"/>
    <w:rsid w:val="00A473FA"/>
    <w:rsid w:val="00A47DE3"/>
    <w:rsid w:val="00A51F9C"/>
    <w:rsid w:val="00A5227A"/>
    <w:rsid w:val="00A54370"/>
    <w:rsid w:val="00A54FAD"/>
    <w:rsid w:val="00A55A52"/>
    <w:rsid w:val="00A55DE0"/>
    <w:rsid w:val="00A57D42"/>
    <w:rsid w:val="00A57F74"/>
    <w:rsid w:val="00A60BBB"/>
    <w:rsid w:val="00A60C83"/>
    <w:rsid w:val="00A613C5"/>
    <w:rsid w:val="00A62D97"/>
    <w:rsid w:val="00A63A99"/>
    <w:rsid w:val="00A65A5B"/>
    <w:rsid w:val="00A65F1E"/>
    <w:rsid w:val="00A6601E"/>
    <w:rsid w:val="00A72DE7"/>
    <w:rsid w:val="00A739AD"/>
    <w:rsid w:val="00A75E3B"/>
    <w:rsid w:val="00A80964"/>
    <w:rsid w:val="00A82756"/>
    <w:rsid w:val="00A82C8D"/>
    <w:rsid w:val="00A83111"/>
    <w:rsid w:val="00A84047"/>
    <w:rsid w:val="00A855AA"/>
    <w:rsid w:val="00A85982"/>
    <w:rsid w:val="00A86230"/>
    <w:rsid w:val="00A87597"/>
    <w:rsid w:val="00A90123"/>
    <w:rsid w:val="00A934C1"/>
    <w:rsid w:val="00A93AE4"/>
    <w:rsid w:val="00A972FF"/>
    <w:rsid w:val="00AA17B2"/>
    <w:rsid w:val="00AA22FC"/>
    <w:rsid w:val="00AA23A7"/>
    <w:rsid w:val="00AA5B10"/>
    <w:rsid w:val="00AA6994"/>
    <w:rsid w:val="00AA6F71"/>
    <w:rsid w:val="00AB0683"/>
    <w:rsid w:val="00AB179B"/>
    <w:rsid w:val="00AB197C"/>
    <w:rsid w:val="00AB199E"/>
    <w:rsid w:val="00AB2DA9"/>
    <w:rsid w:val="00AB5052"/>
    <w:rsid w:val="00AB5560"/>
    <w:rsid w:val="00AC10E3"/>
    <w:rsid w:val="00AC125C"/>
    <w:rsid w:val="00AC1D08"/>
    <w:rsid w:val="00AC23FF"/>
    <w:rsid w:val="00AC56AD"/>
    <w:rsid w:val="00AC58FC"/>
    <w:rsid w:val="00AC5AC7"/>
    <w:rsid w:val="00AC663B"/>
    <w:rsid w:val="00AD0EC0"/>
    <w:rsid w:val="00AD48BE"/>
    <w:rsid w:val="00AD5E69"/>
    <w:rsid w:val="00AD7AA1"/>
    <w:rsid w:val="00AE08DC"/>
    <w:rsid w:val="00AE16EC"/>
    <w:rsid w:val="00AE1A50"/>
    <w:rsid w:val="00AE7B86"/>
    <w:rsid w:val="00AF2305"/>
    <w:rsid w:val="00AF2632"/>
    <w:rsid w:val="00AF2A93"/>
    <w:rsid w:val="00AF46AA"/>
    <w:rsid w:val="00AF499C"/>
    <w:rsid w:val="00AF5D98"/>
    <w:rsid w:val="00AF7307"/>
    <w:rsid w:val="00B03A57"/>
    <w:rsid w:val="00B044C6"/>
    <w:rsid w:val="00B05898"/>
    <w:rsid w:val="00B1011F"/>
    <w:rsid w:val="00B109BF"/>
    <w:rsid w:val="00B11FF2"/>
    <w:rsid w:val="00B12ACE"/>
    <w:rsid w:val="00B12C71"/>
    <w:rsid w:val="00B13956"/>
    <w:rsid w:val="00B16F90"/>
    <w:rsid w:val="00B17123"/>
    <w:rsid w:val="00B202CB"/>
    <w:rsid w:val="00B21CDB"/>
    <w:rsid w:val="00B2222C"/>
    <w:rsid w:val="00B26221"/>
    <w:rsid w:val="00B27A34"/>
    <w:rsid w:val="00B300FF"/>
    <w:rsid w:val="00B30E81"/>
    <w:rsid w:val="00B31CAD"/>
    <w:rsid w:val="00B33EDC"/>
    <w:rsid w:val="00B34F63"/>
    <w:rsid w:val="00B3508F"/>
    <w:rsid w:val="00B3545F"/>
    <w:rsid w:val="00B35670"/>
    <w:rsid w:val="00B4012B"/>
    <w:rsid w:val="00B40EDB"/>
    <w:rsid w:val="00B417A0"/>
    <w:rsid w:val="00B43126"/>
    <w:rsid w:val="00B447CB"/>
    <w:rsid w:val="00B45E59"/>
    <w:rsid w:val="00B52070"/>
    <w:rsid w:val="00B5275C"/>
    <w:rsid w:val="00B53A21"/>
    <w:rsid w:val="00B53B49"/>
    <w:rsid w:val="00B5458B"/>
    <w:rsid w:val="00B548FA"/>
    <w:rsid w:val="00B54A0A"/>
    <w:rsid w:val="00B55FA5"/>
    <w:rsid w:val="00B56FF3"/>
    <w:rsid w:val="00B57A67"/>
    <w:rsid w:val="00B57AFD"/>
    <w:rsid w:val="00B57EA9"/>
    <w:rsid w:val="00B602F3"/>
    <w:rsid w:val="00B635B3"/>
    <w:rsid w:val="00B641F8"/>
    <w:rsid w:val="00B64399"/>
    <w:rsid w:val="00B65B43"/>
    <w:rsid w:val="00B70146"/>
    <w:rsid w:val="00B70CD1"/>
    <w:rsid w:val="00B714E6"/>
    <w:rsid w:val="00B7228A"/>
    <w:rsid w:val="00B740D4"/>
    <w:rsid w:val="00B7662E"/>
    <w:rsid w:val="00B773B3"/>
    <w:rsid w:val="00B82086"/>
    <w:rsid w:val="00B909AF"/>
    <w:rsid w:val="00B90D3E"/>
    <w:rsid w:val="00B91263"/>
    <w:rsid w:val="00B927E5"/>
    <w:rsid w:val="00B975F3"/>
    <w:rsid w:val="00BA1E11"/>
    <w:rsid w:val="00BA2613"/>
    <w:rsid w:val="00BA4915"/>
    <w:rsid w:val="00BA769E"/>
    <w:rsid w:val="00BB1EB3"/>
    <w:rsid w:val="00BB2308"/>
    <w:rsid w:val="00BB3B42"/>
    <w:rsid w:val="00BB69A5"/>
    <w:rsid w:val="00BB7A9B"/>
    <w:rsid w:val="00BC025E"/>
    <w:rsid w:val="00BC0EFB"/>
    <w:rsid w:val="00BC21EE"/>
    <w:rsid w:val="00BC65D8"/>
    <w:rsid w:val="00BD1415"/>
    <w:rsid w:val="00BD316B"/>
    <w:rsid w:val="00BD4653"/>
    <w:rsid w:val="00BD46F9"/>
    <w:rsid w:val="00BD560B"/>
    <w:rsid w:val="00BD6475"/>
    <w:rsid w:val="00BE0B6E"/>
    <w:rsid w:val="00BE2499"/>
    <w:rsid w:val="00BE32D3"/>
    <w:rsid w:val="00BE6721"/>
    <w:rsid w:val="00BE7975"/>
    <w:rsid w:val="00BF0271"/>
    <w:rsid w:val="00BF06DD"/>
    <w:rsid w:val="00BF12C4"/>
    <w:rsid w:val="00BF2C0E"/>
    <w:rsid w:val="00BF54D3"/>
    <w:rsid w:val="00BF5E81"/>
    <w:rsid w:val="00BF5F6A"/>
    <w:rsid w:val="00BF65CA"/>
    <w:rsid w:val="00BF711D"/>
    <w:rsid w:val="00C01123"/>
    <w:rsid w:val="00C013DB"/>
    <w:rsid w:val="00C03A44"/>
    <w:rsid w:val="00C1110D"/>
    <w:rsid w:val="00C11A50"/>
    <w:rsid w:val="00C127B1"/>
    <w:rsid w:val="00C134B7"/>
    <w:rsid w:val="00C14205"/>
    <w:rsid w:val="00C15E87"/>
    <w:rsid w:val="00C175D0"/>
    <w:rsid w:val="00C2096B"/>
    <w:rsid w:val="00C21A8D"/>
    <w:rsid w:val="00C21E2C"/>
    <w:rsid w:val="00C22D8B"/>
    <w:rsid w:val="00C24DB0"/>
    <w:rsid w:val="00C26B1C"/>
    <w:rsid w:val="00C274AA"/>
    <w:rsid w:val="00C3193E"/>
    <w:rsid w:val="00C319ED"/>
    <w:rsid w:val="00C32965"/>
    <w:rsid w:val="00C3426D"/>
    <w:rsid w:val="00C356D1"/>
    <w:rsid w:val="00C36D64"/>
    <w:rsid w:val="00C375F6"/>
    <w:rsid w:val="00C40745"/>
    <w:rsid w:val="00C44ADA"/>
    <w:rsid w:val="00C46060"/>
    <w:rsid w:val="00C46C66"/>
    <w:rsid w:val="00C50711"/>
    <w:rsid w:val="00C51EB0"/>
    <w:rsid w:val="00C52046"/>
    <w:rsid w:val="00C523C6"/>
    <w:rsid w:val="00C525BA"/>
    <w:rsid w:val="00C53065"/>
    <w:rsid w:val="00C53614"/>
    <w:rsid w:val="00C54204"/>
    <w:rsid w:val="00C549BA"/>
    <w:rsid w:val="00C555F7"/>
    <w:rsid w:val="00C5567B"/>
    <w:rsid w:val="00C55EF8"/>
    <w:rsid w:val="00C56446"/>
    <w:rsid w:val="00C56A92"/>
    <w:rsid w:val="00C57717"/>
    <w:rsid w:val="00C60863"/>
    <w:rsid w:val="00C6285D"/>
    <w:rsid w:val="00C632C9"/>
    <w:rsid w:val="00C635DC"/>
    <w:rsid w:val="00C639E3"/>
    <w:rsid w:val="00C64933"/>
    <w:rsid w:val="00C676D1"/>
    <w:rsid w:val="00C70563"/>
    <w:rsid w:val="00C71199"/>
    <w:rsid w:val="00C71292"/>
    <w:rsid w:val="00C71484"/>
    <w:rsid w:val="00C716CA"/>
    <w:rsid w:val="00C72305"/>
    <w:rsid w:val="00C72CF4"/>
    <w:rsid w:val="00C735A7"/>
    <w:rsid w:val="00C761BC"/>
    <w:rsid w:val="00C76B76"/>
    <w:rsid w:val="00C76FAC"/>
    <w:rsid w:val="00C77212"/>
    <w:rsid w:val="00C82D20"/>
    <w:rsid w:val="00C83995"/>
    <w:rsid w:val="00C8566F"/>
    <w:rsid w:val="00C859AE"/>
    <w:rsid w:val="00C87C43"/>
    <w:rsid w:val="00C87F63"/>
    <w:rsid w:val="00C9272E"/>
    <w:rsid w:val="00C979D0"/>
    <w:rsid w:val="00CA410E"/>
    <w:rsid w:val="00CA447E"/>
    <w:rsid w:val="00CA7069"/>
    <w:rsid w:val="00CB0CDF"/>
    <w:rsid w:val="00CB0FE7"/>
    <w:rsid w:val="00CB1DDE"/>
    <w:rsid w:val="00CB27FD"/>
    <w:rsid w:val="00CB48A0"/>
    <w:rsid w:val="00CB528D"/>
    <w:rsid w:val="00CB635C"/>
    <w:rsid w:val="00CB7321"/>
    <w:rsid w:val="00CB7E0A"/>
    <w:rsid w:val="00CC3027"/>
    <w:rsid w:val="00CC421B"/>
    <w:rsid w:val="00CC58F8"/>
    <w:rsid w:val="00CD1BC6"/>
    <w:rsid w:val="00CD1DD0"/>
    <w:rsid w:val="00CD5BE3"/>
    <w:rsid w:val="00CE10BD"/>
    <w:rsid w:val="00CE1AFB"/>
    <w:rsid w:val="00CE1F17"/>
    <w:rsid w:val="00CE2E3C"/>
    <w:rsid w:val="00CE7F13"/>
    <w:rsid w:val="00CF079A"/>
    <w:rsid w:val="00CF26BF"/>
    <w:rsid w:val="00CF3FB2"/>
    <w:rsid w:val="00D00227"/>
    <w:rsid w:val="00D004BE"/>
    <w:rsid w:val="00D00DBC"/>
    <w:rsid w:val="00D01A0C"/>
    <w:rsid w:val="00D03586"/>
    <w:rsid w:val="00D03CF0"/>
    <w:rsid w:val="00D05726"/>
    <w:rsid w:val="00D075C6"/>
    <w:rsid w:val="00D14FB9"/>
    <w:rsid w:val="00D1560A"/>
    <w:rsid w:val="00D176C2"/>
    <w:rsid w:val="00D20504"/>
    <w:rsid w:val="00D213E9"/>
    <w:rsid w:val="00D241DC"/>
    <w:rsid w:val="00D25C61"/>
    <w:rsid w:val="00D30E72"/>
    <w:rsid w:val="00D31247"/>
    <w:rsid w:val="00D338BD"/>
    <w:rsid w:val="00D33B6C"/>
    <w:rsid w:val="00D3454C"/>
    <w:rsid w:val="00D35AE5"/>
    <w:rsid w:val="00D35DBE"/>
    <w:rsid w:val="00D37B3D"/>
    <w:rsid w:val="00D37F45"/>
    <w:rsid w:val="00D4105E"/>
    <w:rsid w:val="00D42E24"/>
    <w:rsid w:val="00D435FF"/>
    <w:rsid w:val="00D46107"/>
    <w:rsid w:val="00D47466"/>
    <w:rsid w:val="00D50854"/>
    <w:rsid w:val="00D50899"/>
    <w:rsid w:val="00D54158"/>
    <w:rsid w:val="00D5688B"/>
    <w:rsid w:val="00D569EC"/>
    <w:rsid w:val="00D60DAA"/>
    <w:rsid w:val="00D61126"/>
    <w:rsid w:val="00D63D53"/>
    <w:rsid w:val="00D66538"/>
    <w:rsid w:val="00D665C0"/>
    <w:rsid w:val="00D72133"/>
    <w:rsid w:val="00D72181"/>
    <w:rsid w:val="00D7396F"/>
    <w:rsid w:val="00D73F4A"/>
    <w:rsid w:val="00D7454A"/>
    <w:rsid w:val="00D7523E"/>
    <w:rsid w:val="00D76A33"/>
    <w:rsid w:val="00D81AF1"/>
    <w:rsid w:val="00D82BCE"/>
    <w:rsid w:val="00D843D7"/>
    <w:rsid w:val="00D84E4B"/>
    <w:rsid w:val="00D90345"/>
    <w:rsid w:val="00D90BAC"/>
    <w:rsid w:val="00D92A4E"/>
    <w:rsid w:val="00D97D5E"/>
    <w:rsid w:val="00DA3AE8"/>
    <w:rsid w:val="00DA4017"/>
    <w:rsid w:val="00DA5B94"/>
    <w:rsid w:val="00DA62EC"/>
    <w:rsid w:val="00DA72DC"/>
    <w:rsid w:val="00DB16ED"/>
    <w:rsid w:val="00DB5C76"/>
    <w:rsid w:val="00DC0159"/>
    <w:rsid w:val="00DC01C7"/>
    <w:rsid w:val="00DC0500"/>
    <w:rsid w:val="00DC4834"/>
    <w:rsid w:val="00DC5090"/>
    <w:rsid w:val="00DD1675"/>
    <w:rsid w:val="00DD1854"/>
    <w:rsid w:val="00DD2B27"/>
    <w:rsid w:val="00DD36E3"/>
    <w:rsid w:val="00DD46EB"/>
    <w:rsid w:val="00DD6D90"/>
    <w:rsid w:val="00DD776A"/>
    <w:rsid w:val="00DE1874"/>
    <w:rsid w:val="00DE22BC"/>
    <w:rsid w:val="00DE261E"/>
    <w:rsid w:val="00DE304D"/>
    <w:rsid w:val="00DE35DB"/>
    <w:rsid w:val="00DE3C81"/>
    <w:rsid w:val="00DE4EA8"/>
    <w:rsid w:val="00DE7144"/>
    <w:rsid w:val="00DF1BC7"/>
    <w:rsid w:val="00DF3569"/>
    <w:rsid w:val="00DF5E62"/>
    <w:rsid w:val="00DF6C8C"/>
    <w:rsid w:val="00DF716A"/>
    <w:rsid w:val="00DF74F4"/>
    <w:rsid w:val="00E1643A"/>
    <w:rsid w:val="00E1655A"/>
    <w:rsid w:val="00E16E56"/>
    <w:rsid w:val="00E205B6"/>
    <w:rsid w:val="00E20D55"/>
    <w:rsid w:val="00E216A6"/>
    <w:rsid w:val="00E2569E"/>
    <w:rsid w:val="00E25F4A"/>
    <w:rsid w:val="00E2749E"/>
    <w:rsid w:val="00E321FE"/>
    <w:rsid w:val="00E332F7"/>
    <w:rsid w:val="00E35135"/>
    <w:rsid w:val="00E35537"/>
    <w:rsid w:val="00E35B18"/>
    <w:rsid w:val="00E36F79"/>
    <w:rsid w:val="00E374E0"/>
    <w:rsid w:val="00E41ECF"/>
    <w:rsid w:val="00E42252"/>
    <w:rsid w:val="00E4354A"/>
    <w:rsid w:val="00E44A71"/>
    <w:rsid w:val="00E47430"/>
    <w:rsid w:val="00E476F2"/>
    <w:rsid w:val="00E4775F"/>
    <w:rsid w:val="00E47EE0"/>
    <w:rsid w:val="00E50484"/>
    <w:rsid w:val="00E51933"/>
    <w:rsid w:val="00E5223C"/>
    <w:rsid w:val="00E523F8"/>
    <w:rsid w:val="00E54597"/>
    <w:rsid w:val="00E56B63"/>
    <w:rsid w:val="00E6233B"/>
    <w:rsid w:val="00E62EA9"/>
    <w:rsid w:val="00E67EFE"/>
    <w:rsid w:val="00E71B76"/>
    <w:rsid w:val="00E7309F"/>
    <w:rsid w:val="00E73DE3"/>
    <w:rsid w:val="00E764DB"/>
    <w:rsid w:val="00E814AC"/>
    <w:rsid w:val="00E81C52"/>
    <w:rsid w:val="00E8227B"/>
    <w:rsid w:val="00E82A7A"/>
    <w:rsid w:val="00E8374F"/>
    <w:rsid w:val="00E86795"/>
    <w:rsid w:val="00E867B4"/>
    <w:rsid w:val="00E87D73"/>
    <w:rsid w:val="00E87F29"/>
    <w:rsid w:val="00E917E1"/>
    <w:rsid w:val="00E91AAB"/>
    <w:rsid w:val="00E9253B"/>
    <w:rsid w:val="00E92C22"/>
    <w:rsid w:val="00E92F00"/>
    <w:rsid w:val="00E94E8F"/>
    <w:rsid w:val="00E950E7"/>
    <w:rsid w:val="00E9758C"/>
    <w:rsid w:val="00E97592"/>
    <w:rsid w:val="00E97F4A"/>
    <w:rsid w:val="00EA1F34"/>
    <w:rsid w:val="00EA2A62"/>
    <w:rsid w:val="00EA2A81"/>
    <w:rsid w:val="00EA35D6"/>
    <w:rsid w:val="00EA56F3"/>
    <w:rsid w:val="00EA7477"/>
    <w:rsid w:val="00EA77F3"/>
    <w:rsid w:val="00EB1D38"/>
    <w:rsid w:val="00EB27FA"/>
    <w:rsid w:val="00EB557B"/>
    <w:rsid w:val="00EB5D6A"/>
    <w:rsid w:val="00EC13A1"/>
    <w:rsid w:val="00EC3F55"/>
    <w:rsid w:val="00EC5D8C"/>
    <w:rsid w:val="00EC7E43"/>
    <w:rsid w:val="00ED0125"/>
    <w:rsid w:val="00ED2B64"/>
    <w:rsid w:val="00ED2EAF"/>
    <w:rsid w:val="00ED6C8A"/>
    <w:rsid w:val="00ED713C"/>
    <w:rsid w:val="00EE2C91"/>
    <w:rsid w:val="00EE79C9"/>
    <w:rsid w:val="00EE7D57"/>
    <w:rsid w:val="00EF3647"/>
    <w:rsid w:val="00EF5E46"/>
    <w:rsid w:val="00EF6BA4"/>
    <w:rsid w:val="00EF6E86"/>
    <w:rsid w:val="00F0000F"/>
    <w:rsid w:val="00F00AF7"/>
    <w:rsid w:val="00F01066"/>
    <w:rsid w:val="00F033E6"/>
    <w:rsid w:val="00F041D8"/>
    <w:rsid w:val="00F05AC2"/>
    <w:rsid w:val="00F05EA4"/>
    <w:rsid w:val="00F05F9A"/>
    <w:rsid w:val="00F07694"/>
    <w:rsid w:val="00F07BDD"/>
    <w:rsid w:val="00F101DE"/>
    <w:rsid w:val="00F12D19"/>
    <w:rsid w:val="00F1412A"/>
    <w:rsid w:val="00F1588F"/>
    <w:rsid w:val="00F171EE"/>
    <w:rsid w:val="00F201E7"/>
    <w:rsid w:val="00F21214"/>
    <w:rsid w:val="00F25C3A"/>
    <w:rsid w:val="00F336C1"/>
    <w:rsid w:val="00F3385A"/>
    <w:rsid w:val="00F35EA6"/>
    <w:rsid w:val="00F36E4A"/>
    <w:rsid w:val="00F42328"/>
    <w:rsid w:val="00F42671"/>
    <w:rsid w:val="00F43641"/>
    <w:rsid w:val="00F50CB0"/>
    <w:rsid w:val="00F5205A"/>
    <w:rsid w:val="00F5437B"/>
    <w:rsid w:val="00F54657"/>
    <w:rsid w:val="00F55EFA"/>
    <w:rsid w:val="00F56DC0"/>
    <w:rsid w:val="00F57D41"/>
    <w:rsid w:val="00F60452"/>
    <w:rsid w:val="00F612C8"/>
    <w:rsid w:val="00F61DE6"/>
    <w:rsid w:val="00F63918"/>
    <w:rsid w:val="00F648A1"/>
    <w:rsid w:val="00F65201"/>
    <w:rsid w:val="00F66FE7"/>
    <w:rsid w:val="00F7000C"/>
    <w:rsid w:val="00F71008"/>
    <w:rsid w:val="00F71021"/>
    <w:rsid w:val="00F75823"/>
    <w:rsid w:val="00F76E37"/>
    <w:rsid w:val="00F77DC4"/>
    <w:rsid w:val="00F80C76"/>
    <w:rsid w:val="00F814AD"/>
    <w:rsid w:val="00F81978"/>
    <w:rsid w:val="00F84A29"/>
    <w:rsid w:val="00F871CD"/>
    <w:rsid w:val="00F874B3"/>
    <w:rsid w:val="00F90A8B"/>
    <w:rsid w:val="00F913C1"/>
    <w:rsid w:val="00F91475"/>
    <w:rsid w:val="00F97612"/>
    <w:rsid w:val="00F97FE5"/>
    <w:rsid w:val="00FA1363"/>
    <w:rsid w:val="00FA2BAD"/>
    <w:rsid w:val="00FA5090"/>
    <w:rsid w:val="00FA5A84"/>
    <w:rsid w:val="00FA653F"/>
    <w:rsid w:val="00FA721C"/>
    <w:rsid w:val="00FA72A2"/>
    <w:rsid w:val="00FB190A"/>
    <w:rsid w:val="00FB33FE"/>
    <w:rsid w:val="00FB3D44"/>
    <w:rsid w:val="00FB48D4"/>
    <w:rsid w:val="00FB62B8"/>
    <w:rsid w:val="00FB65C9"/>
    <w:rsid w:val="00FC0871"/>
    <w:rsid w:val="00FC0EAE"/>
    <w:rsid w:val="00FC1343"/>
    <w:rsid w:val="00FC13CF"/>
    <w:rsid w:val="00FC2012"/>
    <w:rsid w:val="00FC27B2"/>
    <w:rsid w:val="00FC521B"/>
    <w:rsid w:val="00FC5373"/>
    <w:rsid w:val="00FD0312"/>
    <w:rsid w:val="00FD2A97"/>
    <w:rsid w:val="00FD33E0"/>
    <w:rsid w:val="00FD3D3B"/>
    <w:rsid w:val="00FD4046"/>
    <w:rsid w:val="00FD5536"/>
    <w:rsid w:val="00FD71D0"/>
    <w:rsid w:val="00FE096C"/>
    <w:rsid w:val="00FE519C"/>
    <w:rsid w:val="00FE57C2"/>
    <w:rsid w:val="00FF00BE"/>
    <w:rsid w:val="00FF01BA"/>
    <w:rsid w:val="00FF0632"/>
    <w:rsid w:val="00FF1EFA"/>
    <w:rsid w:val="00FF32A1"/>
    <w:rsid w:val="00FF41BA"/>
    <w:rsid w:val="00FF4E89"/>
    <w:rsid w:val="00FF60E9"/>
    <w:rsid w:val="00FF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219DC8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7A6C67"/>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7A6C67"/>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7A6C67"/>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7A6C67"/>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7A6C67"/>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7A6C67"/>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7A6C67"/>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7A6C67"/>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7A6C67"/>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basedOn w:val="Normal"/>
    <w:unhideWhenUsed/>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1"/>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paragraph" w:styleId="Revision">
    <w:name w:val="Revision"/>
    <w:hidden/>
    <w:uiPriority w:val="99"/>
    <w:semiHidden/>
    <w:rsid w:val="0062671F"/>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onLoad="load">
  <ribbon>
    <tabs>
      <tab id="TabFerc" label="Order Templates">
        <group id="customGroup1" label="Document Format Fixes">
          <button id="btnFormat" label="Format" imageMso="HappyFace" onAction="Order_Ribbon.Order_Execute"/>
          <!--
		<button id="btnPNumber" label="Numbers 1 Paragraph" imageMso="NumberingGalleryWord" screentip="Inserts a Paragraph Number at Current Location" onAction="Order_Ribbon.Order_Execute"/>
-->
          <button id="btnFix_PNumber" label="Restores ¶ Nums" imageMso="ParagraphMarks" screentip="Restores missing paragraph numbers" onAction="Order_Ribbon.Order_Execute"/>
          <button id="btnPRange" label="Adds ¶ Nums Range" imageMso="SelectContents" screentip="Converts a Block of Text to FERC Paragraph Numbers" onAction="Order_Ribbon.Order_Execute"/>
        </group>
        <group id="customGroup2" label="Headings">
          <button id="btnHeading" label="Heading Levels" imageMso="ListSetNumberingValue" onAction="Order_Ribbon.Order_Execute"/>
          <button id="btnHeading_Format" label="Heading Formats" imageMso="A" onAction="Order_Ribbon.Order_Execute"/>
          <button id="btnTOCstyle" label="Fix TOC" imageMso="StylesDialogClassic" screentip="Correct Table of Contents Styles" onAction="Order_Ribbon.Order_Execute"/>
          <button id="btnTOC" label="Table of Contents" imageMso="TableOfContentsDialog" size="large" onAction="Order_Ribbon.Order_Execute"/>
        </group>
        <group id="customGroup3" label="Text Format">
          <button id="btnPaste" label="Paste Text" imageMso="Paste" onAction="Order_Ribbon.Order_Execute"/>
          <button id="btnBlock" label="Block Indent" imageMso="ParagraphIndentRight" onAction="Order_Ribbon.Order_Execute"/>
          <button id="btnDate" label="Date Picker" imageMso="ContentControlDate" onAction="Order_Ribbon.Order_Execute"/>
        </group>
        <group id="customGroup4" label="Symbols">
          <button id="btnParagraph" label="Paragraph" imageMso="ParagraphMarks" onAction="Order_Ribbon.Order_Execute"/>
          <button id="btnSection" label="Section" imageMso="Shadow" onAction="Order_Ribbon.Order_Execute"/>
          <button id="btnDegree" label="Degree" imageMso="BrowseSelector" onAction="Order_Ribbon.Order_Execute"/>
        </group>
        <group id="Checks" label="Checks">
          <button id="btnAcronym" label="Acronym Chcker" imageMso="Spelling" screentip="Creates list of Acronyms in Document" onAction="Order_Ribbon.Order_Execute"/>
          <button id="btnIdcheck" label="Id. Chcker" imageMso="Grammar" screentip="Creates list of potential footnotes requiring Ids." onAction="Order_Ribbon.Order_Execute"/>
          <button id="btnComments" label="Prnt Cmts" imageMso="ReviewNewComment" screentip="Creates a new document with comments" onAction="Order_Ribbon.Order_Execute"/>
        </group>
        <group id="TrackChgs" label="Tracking" imageMso="ColorAqua">
          <button id="btnRemNames" label="Remov Names Trck Chgs" imageMso="Tracking" screentip="Removes individual names from track changes when the document is saved" onAction="Order_Ribbon.Order_Execute"/>
          <button id="btnrevisions_date" label="Accept Revs Prior to Date" imageMso="ReviewRevisionAccept" screentip="Accepts track change revisions prior to date specified" onAction="Order_Ribbon.Order_Execute"/>
          <button id="btndate_comments" label="Mrk Cmts Prior to Date as Done" imageMso="ReviewRejectChangeOrDeleteComment" screentip="Marks comments prior to date specified as Done" onAction="Order_Ribbon.Order_Execute"/>
        </group>
        <group id="customGroup5" label="Apps" imageMso="ColorAqua">
          <box id="box" boxStyle="vertical">
            <!--
	<splitButton id="splitButton" size="large" >
	<button id="button" imageMso="EditIcon" label="Apps" />
	<menu id="menu">
-->
            <button id="btnFindPNum" label="Find Para." imageMso="FindDialog" onAction="Order_Ribbon.Order_Execute"/>
            <button id="btnpara_block" label="SP ¶Blocks" imageMso="BlockAuthorsMenu" screentip="Removes paragraph blocks in SharePoint Documents" onAction="Order_Ribbon.Order_Execute"/>
            <button id="btnWarn" label="Turn Off Trk Chag Dial" imageMso="TaskWarningsShow" screentip="Stops the Warning about Track Changes in Document" onAction="Order_Ribbon.Order_Execute"/>
            <button id="btnupdate_fields" label="Update Cross Refs" imageMso="FieldCodes" onAction="Order_Ribbon.Order_Execute"/>
            <button id="btnhighlight" label="Remov Highlights" imageMso="TextHighlightColorPicker" screentip="Removes all highlighting from document, leaving text" onAction="Order_Ribbon.Order_Execute"/>
            <!--
 <button id="btnremove_comments" label="Removes Comments" imageMso="DeleteThisFolder" screentip="Removes all commenting in the document" onAction="Order_Ribbon.Order_Execute"/>
-->
            <button id="btnremove_fonts" label="Remov Red/Strkout Fonts" imageMso="FontColorCycle" screentip="Removes all text using strikeout font and changes redline to black font" onAction="Order_Ribbon.Order_Execute"/>
            <button id="btnBlack" label="Remov Blacked Out Nums" imageMso="BlackAndWhiteBlack" screentip="Resets paragraph or style numbering if the numbering list is corrupted and the number is blacked out" onAction="Order_Ribbon.Order_Execute"/>
            <button id="btnauto_nos" label="Chg ¶ Nos to Txt" imageMso="ConvertTableToText" screentip="For rulemakings, this changes all paragraph numbers to text" onAction="Order_Ribbon.Order_Execute"/>
          </box>
        </group>
        <group id="Cites" label="Citations">
          <button id="btncomma" label="Citation Fix" imageMso="CitationInsert" screentip="Fixes formatting of FERC citations" onAction="Order_Ribbon.Order_Execute"/>
          <button id="btnabbr" label="Abbrev." imageMso="ReplaceDialog" screentip="Checks document for Table T-6 and State Abbreviations" onAction="Order_Ribbon.Order_Execute"/>
          <button id="btnLup" label="Abbr. Lookup" imageMso="TranslateMenu" screentip="Looks up Words in Table T-6 and State Abbreviations" onAction="Order_Ribbon.Order_Execute"/>
          <button id="btnsub" label="Subdiv." imageMso="LowImportance" screentip="Checks document for Subdivision T-16 and BT-1 Blue Book Abbreviations" onAction="Order_Ribbon.Order_Execute"/>
          <button id="btnsub_lookup" label="Subdiv Look-up" imageMso="LowImportance" screentip="Looks up Word in Subdivision T-16 and BT-1" onAction="Order_Ribbon.Order_Execute"/>
        </group>
        <!--
<group id="CUI" label="CUI" imageMso="ColorAqua" >
<button id="btnCUI_Add" label= "Adds CUI Header" imageMso="HeaderFooterInsert" screentip="Adds header reading CUI//PRIVILEGED" onAction="Order_Ribbon.Order_Execute"/>
<button id="btnCUI_Remove" label= "Removes CUI Header" imageMso="HeaderFooterRemoveHeaderWord" screentip="Removes CUI headers" onAction="Order_Ribbon.Order_Execute"/>
		</group>
<group id="customGroup6" label="New Order">	
 		<button id="btnOpen" label="Order Menu" imageMso="NewPage" onAction="Order_Ribbon.Order_Execute"/>
	</group>
-->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4022-3FA7-4E84-ADEB-7EB4890C6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A57CC-67AA-4ADF-A806-B022D5BAE112}">
  <ds:schemaRefs>
    <ds:schemaRef ds:uri="Microsoft.SharePoint.Taxonomy.ContentTypeSync"/>
  </ds:schemaRefs>
</ds:datastoreItem>
</file>

<file path=customXml/itemProps3.xml><?xml version="1.0" encoding="utf-8"?>
<ds:datastoreItem xmlns:ds="http://schemas.openxmlformats.org/officeDocument/2006/customXml" ds:itemID="{78010668-404B-4D73-B428-08266F44F756}">
  <ds:schemaRefs>
    <ds:schemaRef ds:uri="http://schemas.microsoft.com/sharepoint/v3/contenttype/forms"/>
  </ds:schemaRefs>
</ds:datastoreItem>
</file>

<file path=customXml/itemProps4.xml><?xml version="1.0" encoding="utf-8"?>
<ds:datastoreItem xmlns:ds="http://schemas.openxmlformats.org/officeDocument/2006/customXml" ds:itemID="{CAF43700-E83F-4B45-8E5B-0774AA0E36C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e8733a2-e908-454b-85cf-c9d17e1d0943"/>
    <ds:schemaRef ds:uri="http://schemas.microsoft.com/office/2006/metadata/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12</ap:Pages>
  <ap:Words>2352</ap:Words>
  <ap:Characters>12868</ap:Characters>
  <ap:Application>Microsoft Office Word</ap:Application>
  <ap:DocSecurity>0</ap:DocSecurity>
  <ap:Lines>207</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15176</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2022-02-16T16:47:00.0000000Z</dcterms:created>
  <dcterms:modified xsi:type="dcterms:W3CDTF">2022-02-17T22:46:00.0000000Z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