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55"/>
        <w:tblW w:w="8572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070"/>
        <w:gridCol w:w="7502"/>
      </w:tblGrid>
      <w:tr w:rsidR="003F0E6F" w:rsidRPr="00B5498C" w14:paraId="752C5BAB" w14:textId="77777777" w:rsidTr="004E321F">
        <w:trPr>
          <w:trHeight w:val="160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alias w:val="Company"/>
            <w:id w:val="77885041"/>
            <w:placeholder>
              <w:docPart w:val="525C943CB274ED44B3C8EAA7E173335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8572" w:type="dxa"/>
                <w:gridSpan w:val="2"/>
                <w:tcBorders>
                  <w:top w:val="nil"/>
                  <w:bottom w:val="nil"/>
                </w:tcBorders>
              </w:tcPr>
              <w:p w14:paraId="1085B98F" w14:textId="77777777" w:rsidR="003F0E6F" w:rsidRPr="00B5498C" w:rsidRDefault="00455AEB" w:rsidP="00455AEB">
                <w:pPr>
                  <w:pStyle w:val="FaxSubheading"/>
                  <w:framePr w:hSpace="0" w:wrap="auto" w:vAnchor="margin" w:yAlign="inline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498C">
                  <w:rPr>
                    <w:rFonts w:ascii="Times New Roman" w:hAnsi="Times New Roman" w:cs="Times New Roman"/>
                    <w:sz w:val="20"/>
                    <w:szCs w:val="20"/>
                  </w:rPr>
                  <w:t>Johnson Consulting Group</w:t>
                </w:r>
              </w:p>
            </w:tc>
          </w:sdtContent>
        </w:sdt>
      </w:tr>
      <w:tr w:rsidR="00455AEB" w:rsidRPr="00B5498C" w14:paraId="024501ED" w14:textId="77777777" w:rsidTr="004E321F">
        <w:trPr>
          <w:trHeight w:val="17"/>
        </w:trPr>
        <w:tc>
          <w:tcPr>
            <w:tcW w:w="1070" w:type="dxa"/>
            <w:tcBorders>
              <w:top w:val="nil"/>
              <w:bottom w:val="nil"/>
            </w:tcBorders>
          </w:tcPr>
          <w:p w14:paraId="41C59C38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5506D5CD" w14:textId="4A89C2D5" w:rsidR="003F0E6F" w:rsidRPr="00B5498C" w:rsidRDefault="000B5C24" w:rsidP="000B0F4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Missouri PSC</w:t>
            </w:r>
            <w:r w:rsidR="00BB2B1A">
              <w:rPr>
                <w:rFonts w:ascii="Times New Roman" w:hAnsi="Times New Roman" w:cs="Times New Roman"/>
                <w:sz w:val="20"/>
                <w:szCs w:val="20"/>
              </w:rPr>
              <w:t xml:space="preserve"> File No. EO-2012-0142</w:t>
            </w:r>
          </w:p>
        </w:tc>
      </w:tr>
      <w:tr w:rsidR="00455AEB" w:rsidRPr="00B5498C" w14:paraId="0DADAAB5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2C679C84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Author"/>
            <w:id w:val="19907975"/>
            <w:placeholder>
              <w:docPart w:val="06B8FB0F48DA4B4A8FE17C886A8D3411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502" w:type="dxa"/>
                <w:tcBorders>
                  <w:top w:val="nil"/>
                  <w:bottom w:val="nil"/>
                </w:tcBorders>
              </w:tcPr>
              <w:p w14:paraId="1DEC4F5F" w14:textId="77777777" w:rsidR="003F0E6F" w:rsidRPr="00B5498C" w:rsidRDefault="00455AEB">
                <w:pPr>
                  <w:pStyle w:val="FaxBodyText"/>
                  <w:framePr w:hSpace="0" w:wrap="auto" w:vAnchor="margin" w:yAlign="inline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5498C">
                  <w:rPr>
                    <w:rFonts w:ascii="Times New Roman" w:hAnsi="Times New Roman" w:cs="Times New Roman"/>
                    <w:sz w:val="20"/>
                    <w:szCs w:val="20"/>
                  </w:rPr>
                  <w:t>Katherine Johnson, Johnson Consulting Group</w:t>
                </w:r>
              </w:p>
            </w:tc>
          </w:sdtContent>
        </w:sdt>
      </w:tr>
      <w:tr w:rsidR="00455AEB" w:rsidRPr="00B5498C" w14:paraId="4822576D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5A7AA843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CC: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2E95E942" w14:textId="28867030" w:rsidR="003F0E6F" w:rsidRPr="00B5498C" w:rsidRDefault="00883F86" w:rsidP="00455AEB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Scott </w:t>
            </w:r>
            <w:proofErr w:type="spellStart"/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bookmarkStart w:id="0" w:name="_GoBack"/>
            <w:bookmarkEnd w:id="0"/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imetrosky</w:t>
            </w:r>
            <w:proofErr w:type="spellEnd"/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, Apex Analytics</w:t>
            </w:r>
          </w:p>
        </w:tc>
      </w:tr>
      <w:tr w:rsidR="00455AEB" w:rsidRPr="00B5498C" w14:paraId="64FFD2DC" w14:textId="77777777" w:rsidTr="004E321F">
        <w:trPr>
          <w:trHeight w:val="20"/>
        </w:trPr>
        <w:tc>
          <w:tcPr>
            <w:tcW w:w="1070" w:type="dxa"/>
            <w:tcBorders>
              <w:top w:val="nil"/>
              <w:bottom w:val="nil"/>
            </w:tcBorders>
          </w:tcPr>
          <w:p w14:paraId="6880D141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7502" w:type="dxa"/>
            <w:tcBorders>
              <w:top w:val="nil"/>
              <w:bottom w:val="nil"/>
            </w:tcBorders>
          </w:tcPr>
          <w:p w14:paraId="30E89098" w14:textId="33B3AF38" w:rsidR="003F0E6F" w:rsidRPr="00B5498C" w:rsidRDefault="00E177B1" w:rsidP="00493092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3121158"/>
                <w:placeholder>
                  <w:docPart w:val="C3EAF1CC9C23564EB387D9BC4E47C55E"/>
                </w:placeholder>
                <w:date w:fullDate="2016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3092">
                  <w:rPr>
                    <w:rFonts w:ascii="Times New Roman" w:hAnsi="Times New Roman" w:cs="Times New Roman"/>
                    <w:sz w:val="20"/>
                    <w:szCs w:val="20"/>
                  </w:rPr>
                  <w:t>5/20/2016</w:t>
                </w:r>
              </w:sdtContent>
            </w:sdt>
          </w:p>
        </w:tc>
      </w:tr>
      <w:tr w:rsidR="00455AEB" w:rsidRPr="00B5498C" w14:paraId="75BB672D" w14:textId="77777777" w:rsidTr="00990EF2">
        <w:trPr>
          <w:trHeight w:val="291"/>
        </w:trPr>
        <w:tc>
          <w:tcPr>
            <w:tcW w:w="1070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4549323D" w14:textId="77777777" w:rsidR="003F0E6F" w:rsidRPr="00B5498C" w:rsidRDefault="005B5237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Re:</w:t>
            </w:r>
          </w:p>
        </w:tc>
        <w:tc>
          <w:tcPr>
            <w:tcW w:w="7502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241932B7" w14:textId="16EC6C3B" w:rsidR="003F0E6F" w:rsidRPr="00B5498C" w:rsidRDefault="00883F86" w:rsidP="0053415F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Final Net-to-Gross Estimates for PY201</w:t>
            </w:r>
            <w:r w:rsidR="005341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B1A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>Ameren Missouri Energy Efficiency Programs</w:t>
            </w:r>
            <w:r w:rsidR="00455AEB"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545B1DD" w14:textId="675DF3F0" w:rsidR="00455AEB" w:rsidRPr="00883F86" w:rsidRDefault="00883F86" w:rsidP="00883F86">
      <w:pPr>
        <w:pStyle w:val="FaxBodyText"/>
        <w:framePr w:hSpace="0" w:wrap="auto" w:vAnchor="margin" w:yAlign="inline"/>
        <w:jc w:val="both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 xml:space="preserve"> </w:t>
      </w:r>
    </w:p>
    <w:p w14:paraId="3343C036" w14:textId="462FB2C5" w:rsidR="00883F86" w:rsidRPr="00883F86" w:rsidRDefault="00883F86" w:rsidP="00B5498C">
      <w:pPr>
        <w:pStyle w:val="FaxBodyText"/>
        <w:framePr w:hSpace="0" w:wrap="auto" w:vAnchor="margin" w:yAlign="inline"/>
        <w:spacing w:line="300" w:lineRule="atLeast"/>
        <w:jc w:val="both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 xml:space="preserve">Table 1 summarizes the Net-to-Gross (NTG) estimates that were prepared for the Ameren Missouri Evaluation, Measurement &amp; Verification (EM&amp;V) reports </w:t>
      </w:r>
      <w:r w:rsidR="00BB2B1A">
        <w:rPr>
          <w:rFonts w:ascii="Times New Roman" w:hAnsi="Times New Roman" w:cs="Times New Roman"/>
          <w:sz w:val="22"/>
        </w:rPr>
        <w:t>for</w:t>
      </w:r>
      <w:r w:rsidRPr="00883F86">
        <w:rPr>
          <w:rFonts w:ascii="Times New Roman" w:hAnsi="Times New Roman" w:cs="Times New Roman"/>
          <w:sz w:val="22"/>
        </w:rPr>
        <w:t xml:space="preserve"> </w:t>
      </w:r>
      <w:r w:rsidR="00172355" w:rsidRPr="00883F86">
        <w:rPr>
          <w:rFonts w:ascii="Times New Roman" w:hAnsi="Times New Roman" w:cs="Times New Roman"/>
          <w:sz w:val="22"/>
        </w:rPr>
        <w:t>PY201</w:t>
      </w:r>
      <w:r w:rsidR="00172355">
        <w:rPr>
          <w:rFonts w:ascii="Times New Roman" w:hAnsi="Times New Roman" w:cs="Times New Roman"/>
          <w:sz w:val="22"/>
        </w:rPr>
        <w:t>5</w:t>
      </w:r>
      <w:r w:rsidRPr="00883F86">
        <w:rPr>
          <w:rFonts w:ascii="Times New Roman" w:hAnsi="Times New Roman" w:cs="Times New Roman"/>
          <w:sz w:val="22"/>
        </w:rPr>
        <w:t xml:space="preserve">. </w:t>
      </w:r>
      <w:r w:rsidR="00BB2B1A">
        <w:rPr>
          <w:rFonts w:ascii="Times New Roman" w:hAnsi="Times New Roman" w:cs="Times New Roman"/>
          <w:sz w:val="22"/>
        </w:rPr>
        <w:t>The Auditor’s Team</w:t>
      </w:r>
      <w:r w:rsidRPr="00883F86">
        <w:rPr>
          <w:rFonts w:ascii="Times New Roman" w:hAnsi="Times New Roman" w:cs="Times New Roman"/>
          <w:sz w:val="22"/>
        </w:rPr>
        <w:t xml:space="preserve"> do</w:t>
      </w:r>
      <w:r w:rsidR="00BB2B1A">
        <w:rPr>
          <w:rFonts w:ascii="Times New Roman" w:hAnsi="Times New Roman" w:cs="Times New Roman"/>
          <w:sz w:val="22"/>
        </w:rPr>
        <w:t>es</w:t>
      </w:r>
      <w:r w:rsidRPr="00883F86">
        <w:rPr>
          <w:rFonts w:ascii="Times New Roman" w:hAnsi="Times New Roman" w:cs="Times New Roman"/>
          <w:sz w:val="22"/>
        </w:rPr>
        <w:t xml:space="preserve"> not have any adjustments to the NTG estimates as reported by The Cadmus Group and ADM Associates.</w:t>
      </w:r>
      <w:r w:rsidR="0053415F">
        <w:rPr>
          <w:rFonts w:ascii="Times New Roman" w:hAnsi="Times New Roman" w:cs="Times New Roman"/>
          <w:sz w:val="22"/>
        </w:rPr>
        <w:t xml:space="preserve"> </w:t>
      </w:r>
      <w:r w:rsidR="008D1D0D">
        <w:rPr>
          <w:rFonts w:ascii="Times New Roman" w:hAnsi="Times New Roman" w:cs="Times New Roman"/>
          <w:sz w:val="22"/>
        </w:rPr>
        <w:t>T</w:t>
      </w:r>
      <w:r>
        <w:rPr>
          <w:rFonts w:ascii="Times New Roman" w:hAnsi="Times New Roman" w:cs="Times New Roman"/>
          <w:sz w:val="22"/>
        </w:rPr>
        <w:t xml:space="preserve">able </w:t>
      </w:r>
      <w:r w:rsidR="008D1D0D">
        <w:rPr>
          <w:rFonts w:ascii="Times New Roman" w:hAnsi="Times New Roman" w:cs="Times New Roman"/>
          <w:sz w:val="22"/>
        </w:rPr>
        <w:t xml:space="preserve">1 </w:t>
      </w:r>
      <w:r>
        <w:rPr>
          <w:rFonts w:ascii="Times New Roman" w:hAnsi="Times New Roman" w:cs="Times New Roman"/>
          <w:sz w:val="22"/>
        </w:rPr>
        <w:t xml:space="preserve">will </w:t>
      </w:r>
      <w:r w:rsidR="008D1D0D">
        <w:rPr>
          <w:rFonts w:ascii="Times New Roman" w:hAnsi="Times New Roman" w:cs="Times New Roman"/>
          <w:sz w:val="22"/>
        </w:rPr>
        <w:t xml:space="preserve">also </w:t>
      </w:r>
      <w:r>
        <w:rPr>
          <w:rFonts w:ascii="Times New Roman" w:hAnsi="Times New Roman" w:cs="Times New Roman"/>
          <w:sz w:val="22"/>
        </w:rPr>
        <w:t>be provided in the Final EM&amp;V Auditor’s Report</w:t>
      </w:r>
      <w:r w:rsidR="008D1D0D">
        <w:rPr>
          <w:rFonts w:ascii="Times New Roman" w:hAnsi="Times New Roman" w:cs="Times New Roman"/>
          <w:sz w:val="22"/>
        </w:rPr>
        <w:t xml:space="preserve"> and contains a</w:t>
      </w:r>
      <w:r w:rsidR="008A5E52">
        <w:rPr>
          <w:rFonts w:ascii="Times New Roman" w:hAnsi="Times New Roman" w:cs="Times New Roman"/>
          <w:sz w:val="22"/>
        </w:rPr>
        <w:t xml:space="preserve"> PY2015 </w:t>
      </w:r>
      <w:r w:rsidR="008D1D0D">
        <w:rPr>
          <w:rFonts w:ascii="Times New Roman" w:hAnsi="Times New Roman" w:cs="Times New Roman"/>
          <w:sz w:val="22"/>
        </w:rPr>
        <w:t xml:space="preserve">portfolio </w:t>
      </w:r>
      <w:r w:rsidR="008A5E52">
        <w:rPr>
          <w:rFonts w:ascii="Times New Roman" w:hAnsi="Times New Roman" w:cs="Times New Roman"/>
          <w:sz w:val="22"/>
        </w:rPr>
        <w:t xml:space="preserve">NTG ratio of </w:t>
      </w:r>
      <w:r w:rsidR="00493092">
        <w:rPr>
          <w:rFonts w:ascii="Times New Roman" w:hAnsi="Times New Roman" w:cs="Times New Roman"/>
          <w:sz w:val="22"/>
        </w:rPr>
        <w:t>100.</w:t>
      </w:r>
      <w:r w:rsidR="001B50A7">
        <w:rPr>
          <w:rFonts w:ascii="Times New Roman" w:hAnsi="Times New Roman" w:cs="Times New Roman"/>
          <w:sz w:val="22"/>
        </w:rPr>
        <w:t>6</w:t>
      </w:r>
      <w:r w:rsidR="008A5E52">
        <w:rPr>
          <w:rFonts w:ascii="Times New Roman" w:hAnsi="Times New Roman" w:cs="Times New Roman"/>
          <w:sz w:val="22"/>
        </w:rPr>
        <w:t>%</w:t>
      </w:r>
      <w:r>
        <w:rPr>
          <w:rFonts w:ascii="Times New Roman" w:hAnsi="Times New Roman" w:cs="Times New Roman"/>
          <w:sz w:val="22"/>
        </w:rPr>
        <w:t xml:space="preserve">. </w:t>
      </w:r>
    </w:p>
    <w:p w14:paraId="48DA3613" w14:textId="4129731C" w:rsidR="00F91F03" w:rsidRPr="00CA4950" w:rsidRDefault="00883F86" w:rsidP="00F91F03">
      <w:pPr>
        <w:pStyle w:val="Caption"/>
      </w:pPr>
      <w:r w:rsidRPr="0007469F">
        <w:t xml:space="preserve">Table </w:t>
      </w:r>
      <w:r w:rsidR="00E177B1">
        <w:fldChar w:fldCharType="begin"/>
      </w:r>
      <w:r w:rsidR="00E177B1">
        <w:instrText xml:space="preserve"> SEQ Table \* ARABIC </w:instrText>
      </w:r>
      <w:r w:rsidR="00E177B1">
        <w:fldChar w:fldCharType="separate"/>
      </w:r>
      <w:r w:rsidR="00B16A47">
        <w:rPr>
          <w:noProof/>
        </w:rPr>
        <w:t>1</w:t>
      </w:r>
      <w:r w:rsidR="00E177B1">
        <w:rPr>
          <w:noProof/>
        </w:rPr>
        <w:fldChar w:fldCharType="end"/>
      </w:r>
      <w:r w:rsidRPr="0007469F">
        <w:t>: Estimated Free</w:t>
      </w:r>
      <w:r>
        <w:t xml:space="preserve"> Ridership</w:t>
      </w:r>
      <w:r w:rsidRPr="0007469F">
        <w:t>, Spillover Market Effect Rates</w:t>
      </w:r>
      <w:r>
        <w:t xml:space="preserve"> and NTG</w:t>
      </w:r>
      <w:r w:rsidRPr="0007469F">
        <w:t xml:space="preserve"> for Each Program</w:t>
      </w:r>
      <w:r w:rsidR="0053415F">
        <w:t xml:space="preserve"> </w:t>
      </w:r>
    </w:p>
    <w:tbl>
      <w:tblPr>
        <w:tblW w:w="6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1433"/>
        <w:gridCol w:w="1588"/>
        <w:gridCol w:w="1073"/>
        <w:gridCol w:w="1492"/>
        <w:gridCol w:w="1521"/>
        <w:gridCol w:w="1439"/>
      </w:tblGrid>
      <w:tr w:rsidR="005E7CE4" w:rsidRPr="00CA4950" w14:paraId="580CC941" w14:textId="77777777" w:rsidTr="005E7CE4">
        <w:trPr>
          <w:trHeight w:val="785"/>
          <w:jc w:val="center"/>
        </w:trPr>
        <w:tc>
          <w:tcPr>
            <w:tcW w:w="2108" w:type="dxa"/>
            <w:shd w:val="clear" w:color="auto" w:fill="C6D9F1" w:themeFill="text2" w:themeFillTint="33"/>
            <w:noWrap/>
            <w:vAlign w:val="center"/>
            <w:hideMark/>
          </w:tcPr>
          <w:p w14:paraId="76594FFD" w14:textId="77777777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470" w:type="dxa"/>
            <w:shd w:val="clear" w:color="auto" w:fill="C6D9F1" w:themeFill="text2" w:themeFillTint="33"/>
          </w:tcPr>
          <w:p w14:paraId="03FC11BC" w14:textId="1E725D42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Ex Post Net 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MWh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 xml:space="preserve"> Savings</w:t>
            </w:r>
          </w:p>
        </w:tc>
        <w:tc>
          <w:tcPr>
            <w:tcW w:w="1630" w:type="dxa"/>
            <w:shd w:val="clear" w:color="auto" w:fill="C6D9F1" w:themeFill="text2" w:themeFillTint="33"/>
            <w:vAlign w:val="center"/>
            <w:hideMark/>
          </w:tcPr>
          <w:p w14:paraId="5B5E9BFD" w14:textId="6ADB8EA4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 xml:space="preserve">Estimated Free Ridership </w:t>
            </w:r>
            <w:r w:rsidRPr="00CA4950">
              <w:rPr>
                <w:rFonts w:eastAsia="Times New Roman"/>
                <w:b/>
                <w:sz w:val="20"/>
                <w:szCs w:val="20"/>
              </w:rPr>
              <w:br/>
              <w:t>Rates</w:t>
            </w:r>
          </w:p>
        </w:tc>
        <w:tc>
          <w:tcPr>
            <w:tcW w:w="1099" w:type="dxa"/>
            <w:shd w:val="clear" w:color="auto" w:fill="C6D9F1" w:themeFill="text2" w:themeFillTint="33"/>
            <w:vAlign w:val="center"/>
            <w:hideMark/>
          </w:tcPr>
          <w:p w14:paraId="57931525" w14:textId="77777777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 xml:space="preserve">Estimated Spillover </w:t>
            </w:r>
            <w:r w:rsidRPr="00CA4950">
              <w:rPr>
                <w:rFonts w:eastAsia="Times New Roman"/>
                <w:b/>
                <w:sz w:val="20"/>
                <w:szCs w:val="20"/>
              </w:rPr>
              <w:br/>
              <w:t>Rates</w:t>
            </w:r>
          </w:p>
        </w:tc>
        <w:tc>
          <w:tcPr>
            <w:tcW w:w="1531" w:type="dxa"/>
            <w:shd w:val="clear" w:color="auto" w:fill="C6D9F1" w:themeFill="text2" w:themeFillTint="33"/>
            <w:tcMar>
              <w:left w:w="58" w:type="dxa"/>
              <w:right w:w="58" w:type="dxa"/>
            </w:tcMar>
            <w:vAlign w:val="center"/>
            <w:hideMark/>
          </w:tcPr>
          <w:p w14:paraId="409F1D49" w14:textId="77777777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 xml:space="preserve">Estimated </w:t>
            </w:r>
            <w:r w:rsidRPr="00CA4950">
              <w:rPr>
                <w:rFonts w:eastAsia="Times New Roman"/>
                <w:b/>
                <w:sz w:val="20"/>
                <w:szCs w:val="20"/>
              </w:rPr>
              <w:br/>
              <w:t>Non-participant Spillover</w:t>
            </w:r>
          </w:p>
        </w:tc>
        <w:tc>
          <w:tcPr>
            <w:tcW w:w="1561" w:type="dxa"/>
            <w:shd w:val="clear" w:color="auto" w:fill="C6D9F1" w:themeFill="text2" w:themeFillTint="33"/>
            <w:vAlign w:val="center"/>
            <w:hideMark/>
          </w:tcPr>
          <w:p w14:paraId="33334220" w14:textId="77777777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 xml:space="preserve">Estimated </w:t>
            </w:r>
            <w:r w:rsidRPr="00CA4950">
              <w:rPr>
                <w:rFonts w:eastAsia="Times New Roman"/>
                <w:b/>
                <w:sz w:val="20"/>
                <w:szCs w:val="20"/>
              </w:rPr>
              <w:br/>
              <w:t>Market</w:t>
            </w:r>
            <w:r w:rsidRPr="00CA4950">
              <w:rPr>
                <w:rFonts w:eastAsia="Times New Roman"/>
                <w:b/>
                <w:sz w:val="20"/>
                <w:szCs w:val="20"/>
              </w:rPr>
              <w:br/>
              <w:t>Effects</w:t>
            </w:r>
          </w:p>
        </w:tc>
        <w:tc>
          <w:tcPr>
            <w:tcW w:w="1476" w:type="dxa"/>
            <w:shd w:val="clear" w:color="auto" w:fill="C6D9F1" w:themeFill="text2" w:themeFillTint="33"/>
            <w:vAlign w:val="center"/>
          </w:tcPr>
          <w:p w14:paraId="507C9FD7" w14:textId="77777777" w:rsidR="005E7CE4" w:rsidRPr="00CA4950" w:rsidRDefault="005E7CE4" w:rsidP="000A79E6">
            <w:pPr>
              <w:spacing w:before="60" w:after="6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A4950">
              <w:rPr>
                <w:rFonts w:eastAsia="Times New Roman"/>
                <w:b/>
                <w:sz w:val="20"/>
                <w:szCs w:val="20"/>
              </w:rPr>
              <w:t>NTG Ratio</w:t>
            </w:r>
          </w:p>
        </w:tc>
      </w:tr>
      <w:tr w:rsidR="005E7CE4" w:rsidRPr="00CA4950" w14:paraId="0CC7CAA0" w14:textId="77777777" w:rsidTr="001B50A7">
        <w:trPr>
          <w:trHeight w:val="312"/>
          <w:jc w:val="center"/>
        </w:trPr>
        <w:tc>
          <w:tcPr>
            <w:tcW w:w="2108" w:type="dxa"/>
            <w:shd w:val="clear" w:color="auto" w:fill="auto"/>
            <w:noWrap/>
            <w:hideMark/>
          </w:tcPr>
          <w:p w14:paraId="7D91ADC2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Efficient Products</w:t>
            </w:r>
          </w:p>
        </w:tc>
        <w:tc>
          <w:tcPr>
            <w:tcW w:w="1470" w:type="dxa"/>
            <w:vAlign w:val="center"/>
          </w:tcPr>
          <w:p w14:paraId="6F9CFBBE" w14:textId="7B2D0521" w:rsidR="005E7CE4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7,755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8C3E1F0" w14:textId="46F6D2E9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6DBF94C5" w14:textId="33D640A8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9BB2893" w14:textId="3B806006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4C107587" w14:textId="16912481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 Reported</w:t>
            </w:r>
          </w:p>
        </w:tc>
        <w:tc>
          <w:tcPr>
            <w:tcW w:w="1476" w:type="dxa"/>
            <w:vAlign w:val="center"/>
          </w:tcPr>
          <w:p w14:paraId="2E79ABFD" w14:textId="713135E3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98.1%</w:t>
            </w:r>
          </w:p>
        </w:tc>
      </w:tr>
      <w:tr w:rsidR="005E7CE4" w:rsidRPr="00CA4950" w14:paraId="39DDEFCF" w14:textId="77777777" w:rsidTr="001B50A7">
        <w:trPr>
          <w:trHeight w:val="312"/>
          <w:jc w:val="center"/>
        </w:trPr>
        <w:tc>
          <w:tcPr>
            <w:tcW w:w="2108" w:type="dxa"/>
            <w:shd w:val="clear" w:color="auto" w:fill="auto"/>
            <w:noWrap/>
            <w:hideMark/>
          </w:tcPr>
          <w:p w14:paraId="67B51B10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Home Energy Analysis</w:t>
            </w:r>
          </w:p>
        </w:tc>
        <w:tc>
          <w:tcPr>
            <w:tcW w:w="1470" w:type="dxa"/>
            <w:vAlign w:val="center"/>
          </w:tcPr>
          <w:p w14:paraId="69F235C0" w14:textId="07ED4A8B" w:rsidR="005E7CE4" w:rsidRPr="00CA4950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9DC24D5" w14:textId="0D056208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7D7DC80E" w14:textId="51C8AB4A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5D70C8A1" w14:textId="70B58FFB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0.9%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4ACDB8F5" w14:textId="3A1535E7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 Reported</w:t>
            </w:r>
          </w:p>
        </w:tc>
        <w:tc>
          <w:tcPr>
            <w:tcW w:w="1476" w:type="dxa"/>
            <w:vAlign w:val="center"/>
          </w:tcPr>
          <w:p w14:paraId="513D5B21" w14:textId="52EE40A6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86.3%</w:t>
            </w:r>
          </w:p>
        </w:tc>
      </w:tr>
      <w:tr w:rsidR="005E7CE4" w:rsidRPr="00CA4950" w14:paraId="06CFAF45" w14:textId="77777777" w:rsidTr="001B50A7">
        <w:trPr>
          <w:trHeight w:val="395"/>
          <w:jc w:val="center"/>
        </w:trPr>
        <w:tc>
          <w:tcPr>
            <w:tcW w:w="2108" w:type="dxa"/>
            <w:shd w:val="clear" w:color="auto" w:fill="auto"/>
            <w:noWrap/>
            <w:hideMark/>
          </w:tcPr>
          <w:p w14:paraId="1245A47B" w14:textId="1B8D449C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eating and Cooling</w:t>
            </w:r>
          </w:p>
        </w:tc>
        <w:tc>
          <w:tcPr>
            <w:tcW w:w="1470" w:type="dxa"/>
            <w:vAlign w:val="center"/>
          </w:tcPr>
          <w:p w14:paraId="36F71B2D" w14:textId="19330310" w:rsidR="005E7CE4" w:rsidRPr="00CA4950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60,677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14C3B2B7" w14:textId="5EDE7DE9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11.9%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32ABDA84" w14:textId="197B86D1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0.1%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05EAD119" w14:textId="34E9D83E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22.9%</w:t>
            </w:r>
          </w:p>
        </w:tc>
        <w:tc>
          <w:tcPr>
            <w:tcW w:w="1561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646913" w14:textId="0F351FA4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 Reported</w:t>
            </w:r>
          </w:p>
        </w:tc>
        <w:tc>
          <w:tcPr>
            <w:tcW w:w="1476" w:type="dxa"/>
            <w:vAlign w:val="center"/>
          </w:tcPr>
          <w:p w14:paraId="531FD232" w14:textId="47D362BE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111.1%</w:t>
            </w:r>
          </w:p>
        </w:tc>
      </w:tr>
      <w:tr w:rsidR="005E7CE4" w:rsidRPr="00CA4950" w14:paraId="0B4D55E1" w14:textId="77777777" w:rsidTr="001B50A7">
        <w:trPr>
          <w:trHeight w:val="312"/>
          <w:jc w:val="center"/>
        </w:trPr>
        <w:tc>
          <w:tcPr>
            <w:tcW w:w="2108" w:type="dxa"/>
            <w:shd w:val="clear" w:color="auto" w:fill="auto"/>
            <w:noWrap/>
            <w:hideMark/>
          </w:tcPr>
          <w:p w14:paraId="68839B24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Lighting</w:t>
            </w:r>
          </w:p>
        </w:tc>
        <w:tc>
          <w:tcPr>
            <w:tcW w:w="1470" w:type="dxa"/>
            <w:vAlign w:val="center"/>
          </w:tcPr>
          <w:p w14:paraId="15C6AD56" w14:textId="137FF675" w:rsidR="005E7CE4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60,830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1BE3B34F" w14:textId="443CA166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20.5%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0962A183" w14:textId="169D495C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7DAE0D4" w14:textId="38F5CD99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12EFEE60" w14:textId="6BA11988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1476" w:type="dxa"/>
            <w:vAlign w:val="center"/>
          </w:tcPr>
          <w:p w14:paraId="199885AF" w14:textId="01D5B96C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89.0%</w:t>
            </w:r>
          </w:p>
        </w:tc>
      </w:tr>
      <w:tr w:rsidR="005E7CE4" w:rsidRPr="00CA4950" w14:paraId="76651517" w14:textId="77777777" w:rsidTr="001B50A7">
        <w:trPr>
          <w:trHeight w:val="312"/>
          <w:jc w:val="center"/>
        </w:trPr>
        <w:tc>
          <w:tcPr>
            <w:tcW w:w="2108" w:type="dxa"/>
            <w:shd w:val="clear" w:color="auto" w:fill="auto"/>
            <w:noWrap/>
            <w:hideMark/>
          </w:tcPr>
          <w:p w14:paraId="30E46145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Low Income</w:t>
            </w:r>
          </w:p>
        </w:tc>
        <w:tc>
          <w:tcPr>
            <w:tcW w:w="1470" w:type="dxa"/>
            <w:vAlign w:val="center"/>
          </w:tcPr>
          <w:p w14:paraId="1B68A0C2" w14:textId="7F370EA4" w:rsidR="005E7CE4" w:rsidRPr="00CA4950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4,838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44746750" w14:textId="04199302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40AC3A56" w14:textId="2506F4F1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2A46B9A7" w14:textId="7E65FCD0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764D0F49" w14:textId="125852C0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vAlign w:val="center"/>
          </w:tcPr>
          <w:p w14:paraId="055058A3" w14:textId="6D465F7D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95.8%</w:t>
            </w:r>
          </w:p>
        </w:tc>
      </w:tr>
      <w:tr w:rsidR="005E7CE4" w:rsidRPr="00CA4950" w14:paraId="7235EC6D" w14:textId="77777777" w:rsidTr="001B50A7">
        <w:trPr>
          <w:trHeight w:val="312"/>
          <w:jc w:val="center"/>
        </w:trPr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E7162F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Refrigerator Recycling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505A64E2" w14:textId="3FCA1F38" w:rsidR="005E7CE4" w:rsidRPr="00CA4950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8,237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4AC23F" w14:textId="06BD4EF6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35.3%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0AB511" w14:textId="14821844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D12046" w14:textId="6A0D34DC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FE1C3" w14:textId="18997FE0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Not Reported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3914E8DB" w14:textId="3F3352A8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76.9%</w:t>
            </w:r>
          </w:p>
        </w:tc>
      </w:tr>
      <w:tr w:rsidR="005E7CE4" w:rsidRPr="00CA4950" w14:paraId="6B2E0FD4" w14:textId="77777777" w:rsidTr="001B50A7">
        <w:trPr>
          <w:trHeight w:val="312"/>
          <w:jc w:val="center"/>
        </w:trPr>
        <w:tc>
          <w:tcPr>
            <w:tcW w:w="2108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19BC0DC2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r w:rsidRPr="00CA4950">
              <w:rPr>
                <w:sz w:val="20"/>
                <w:szCs w:val="20"/>
              </w:rPr>
              <w:t>New Homes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5A817E50" w14:textId="2EF6DF1C" w:rsidR="005E7CE4" w:rsidRPr="00CA4950" w:rsidRDefault="005E7CE4" w:rsidP="001B50A7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E687E34" w14:textId="7776C630" w:rsidR="005E7CE4" w:rsidRPr="00CA4950" w:rsidRDefault="005E7CE4" w:rsidP="001B50A7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9BE699A" w14:textId="249E6604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8E63B8C" w14:textId="39710F27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3873457" w14:textId="783E64DD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34EFB636" w14:textId="671C830E" w:rsidR="005E7CE4" w:rsidRPr="00CA4950" w:rsidRDefault="005E7CE4" w:rsidP="001B50A7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</w:t>
            </w:r>
          </w:p>
        </w:tc>
      </w:tr>
      <w:tr w:rsidR="005E7CE4" w:rsidRPr="00CA4950" w14:paraId="6B8FD6C2" w14:textId="77777777" w:rsidTr="005E7CE4">
        <w:trPr>
          <w:trHeight w:val="312"/>
          <w:jc w:val="center"/>
        </w:trPr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3AD471BD" w14:textId="7FD094DB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b/>
                <w:sz w:val="20"/>
                <w:szCs w:val="20"/>
              </w:rPr>
              <w:t>Residential Portfolio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1C32FC" w14:textId="4BDC8BF3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142,669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BDCA06C" w14:textId="66F1B747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1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A0335E4" w14:textId="6210FC01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837308A" w14:textId="40A08AB4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84DE743" w14:textId="69F5FB26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2.0%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ADD9F9" w14:textId="1CB0BFE4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98.4%</w:t>
            </w:r>
          </w:p>
        </w:tc>
      </w:tr>
      <w:tr w:rsidR="005E7CE4" w:rsidRPr="00CA4950" w14:paraId="1949D0EF" w14:textId="77777777" w:rsidTr="005E7CE4">
        <w:trPr>
          <w:trHeight w:val="312"/>
          <w:jc w:val="center"/>
        </w:trPr>
        <w:tc>
          <w:tcPr>
            <w:tcW w:w="2108" w:type="dxa"/>
            <w:tcBorders>
              <w:top w:val="double" w:sz="4" w:space="0" w:color="auto"/>
            </w:tcBorders>
            <w:shd w:val="clear" w:color="auto" w:fill="auto"/>
            <w:noWrap/>
          </w:tcPr>
          <w:p w14:paraId="61222C87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proofErr w:type="spellStart"/>
            <w:r w:rsidRPr="00CA4950">
              <w:rPr>
                <w:sz w:val="20"/>
                <w:szCs w:val="20"/>
              </w:rPr>
              <w:t>BizSavers</w:t>
            </w:r>
            <w:proofErr w:type="spellEnd"/>
            <w:r w:rsidRPr="00CA4950">
              <w:rPr>
                <w:sz w:val="20"/>
                <w:szCs w:val="20"/>
              </w:rPr>
              <w:t xml:space="preserve"> Custom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5320483F" w14:textId="43BE548F" w:rsidR="005E7CE4" w:rsidRDefault="005E7CE4" w:rsidP="005E7CE4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183,922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7132243" w14:textId="704EB704" w:rsidR="005E7CE4" w:rsidRPr="00CA4950" w:rsidRDefault="005E7CE4" w:rsidP="005E7CE4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341661C5" w14:textId="432BF707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9B19F1A" w14:textId="78B0BADA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156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E318ECD" w14:textId="4299B5B4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E400699" w14:textId="31B99269" w:rsidR="005E7CE4" w:rsidRPr="00CA4950" w:rsidRDefault="005E7CE4" w:rsidP="005E7CE4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102.0%</w:t>
            </w:r>
          </w:p>
        </w:tc>
      </w:tr>
      <w:tr w:rsidR="005E7CE4" w:rsidRPr="00CA4950" w14:paraId="76EE8D95" w14:textId="77777777" w:rsidTr="005E7CE4">
        <w:trPr>
          <w:trHeight w:val="312"/>
          <w:jc w:val="center"/>
        </w:trPr>
        <w:tc>
          <w:tcPr>
            <w:tcW w:w="2108" w:type="dxa"/>
            <w:shd w:val="clear" w:color="auto" w:fill="auto"/>
            <w:noWrap/>
          </w:tcPr>
          <w:p w14:paraId="3FE120E3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proofErr w:type="spellStart"/>
            <w:r w:rsidRPr="00CA4950">
              <w:rPr>
                <w:sz w:val="20"/>
                <w:szCs w:val="20"/>
              </w:rPr>
              <w:t>BizSavers</w:t>
            </w:r>
            <w:proofErr w:type="spellEnd"/>
            <w:r w:rsidRPr="00CA4950">
              <w:rPr>
                <w:sz w:val="20"/>
                <w:szCs w:val="20"/>
              </w:rPr>
              <w:t xml:space="preserve"> Standard</w:t>
            </w:r>
          </w:p>
        </w:tc>
        <w:tc>
          <w:tcPr>
            <w:tcW w:w="1470" w:type="dxa"/>
            <w:vAlign w:val="center"/>
          </w:tcPr>
          <w:p w14:paraId="14B5249D" w14:textId="373288AF" w:rsidR="005E7CE4" w:rsidRPr="00CA4950" w:rsidRDefault="005E7CE4" w:rsidP="005E7CE4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69,540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AB789EB" w14:textId="5E2A91BC" w:rsidR="005E7CE4" w:rsidRPr="00CA4950" w:rsidRDefault="005E7CE4" w:rsidP="005E7CE4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5.2%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14:paraId="2E32D3F7" w14:textId="1F21ABAD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EFA6B2B" w14:textId="1977F7D2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8.8%</w:t>
            </w:r>
          </w:p>
        </w:tc>
        <w:tc>
          <w:tcPr>
            <w:tcW w:w="1561" w:type="dxa"/>
            <w:shd w:val="clear" w:color="auto" w:fill="auto"/>
            <w:noWrap/>
            <w:vAlign w:val="center"/>
          </w:tcPr>
          <w:p w14:paraId="17EE328E" w14:textId="659ED6C8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281634A6" w14:textId="1081FC4A" w:rsidR="005E7CE4" w:rsidRPr="00CA4950" w:rsidRDefault="005E7CE4" w:rsidP="005E7CE4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103.8%</w:t>
            </w:r>
          </w:p>
        </w:tc>
      </w:tr>
      <w:tr w:rsidR="005E7CE4" w:rsidRPr="00CA4950" w14:paraId="39AE8C58" w14:textId="77777777" w:rsidTr="005E7CE4">
        <w:trPr>
          <w:trHeight w:val="312"/>
          <w:jc w:val="center"/>
        </w:trPr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8BA7FB2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proofErr w:type="spellStart"/>
            <w:r w:rsidRPr="00CA4950">
              <w:rPr>
                <w:sz w:val="20"/>
                <w:szCs w:val="20"/>
              </w:rPr>
              <w:t>BizSavers</w:t>
            </w:r>
            <w:proofErr w:type="spellEnd"/>
            <w:r w:rsidRPr="00CA4950">
              <w:rPr>
                <w:sz w:val="20"/>
                <w:szCs w:val="20"/>
              </w:rPr>
              <w:t xml:space="preserve"> New Construction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32C99CB8" w14:textId="65B85D1A" w:rsidR="005E7CE4" w:rsidRPr="00CA4950" w:rsidRDefault="005E7CE4" w:rsidP="005E7CE4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27,884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19F29" w14:textId="4AB78144" w:rsidR="005E7CE4" w:rsidRPr="00CA4950" w:rsidRDefault="005E7CE4" w:rsidP="005E7CE4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03DD62" w14:textId="44A06AE3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0.8%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50CB3F" w14:textId="5767D513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921724" w14:textId="797A6166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E7F19" w14:textId="3DC187EF" w:rsidR="005E7CE4" w:rsidRPr="00CA4950" w:rsidRDefault="005E7CE4" w:rsidP="005E7CE4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95.5%</w:t>
            </w:r>
          </w:p>
        </w:tc>
      </w:tr>
      <w:tr w:rsidR="005E7CE4" w:rsidRPr="00CA4950" w14:paraId="20A32C56" w14:textId="77777777" w:rsidTr="005E7CE4">
        <w:trPr>
          <w:trHeight w:val="312"/>
          <w:jc w:val="center"/>
        </w:trPr>
        <w:tc>
          <w:tcPr>
            <w:tcW w:w="2108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784AD086" w14:textId="77777777" w:rsidR="005E7CE4" w:rsidRPr="00CA4950" w:rsidRDefault="005E7CE4" w:rsidP="005E7CE4">
            <w:pPr>
              <w:spacing w:before="60" w:after="60"/>
              <w:rPr>
                <w:rFonts w:eastAsia="Times New Roman"/>
                <w:color w:val="FF0000"/>
                <w:sz w:val="20"/>
                <w:szCs w:val="20"/>
              </w:rPr>
            </w:pPr>
            <w:proofErr w:type="spellStart"/>
            <w:r w:rsidRPr="00CA4950">
              <w:rPr>
                <w:sz w:val="20"/>
                <w:szCs w:val="20"/>
              </w:rPr>
              <w:t>BizSavers</w:t>
            </w:r>
            <w:proofErr w:type="spellEnd"/>
            <w:r w:rsidRPr="00CA4950">
              <w:rPr>
                <w:sz w:val="20"/>
                <w:szCs w:val="20"/>
              </w:rPr>
              <w:t xml:space="preserve"> Retro</w:t>
            </w:r>
            <w:r>
              <w:rPr>
                <w:sz w:val="20"/>
                <w:szCs w:val="20"/>
              </w:rPr>
              <w:t>-</w:t>
            </w:r>
            <w:r w:rsidRPr="00CA4950">
              <w:rPr>
                <w:sz w:val="20"/>
                <w:szCs w:val="20"/>
              </w:rPr>
              <w:t>Commissioning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12DA7FD5" w14:textId="4488BF2E" w:rsidR="005E7CE4" w:rsidRPr="00CA4950" w:rsidRDefault="005E7CE4" w:rsidP="005E7CE4">
            <w:pPr>
              <w:spacing w:before="60" w:after="60"/>
              <w:ind w:right="432"/>
              <w:jc w:val="right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3,636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692EAC99" w14:textId="240E3977" w:rsidR="005E7CE4" w:rsidRPr="00CA4950" w:rsidRDefault="005E7CE4" w:rsidP="005E7CE4">
            <w:pPr>
              <w:spacing w:before="60" w:after="60"/>
              <w:ind w:right="432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EA0569A" w14:textId="5912DC59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82736CD" w14:textId="59643976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36E1CAF" w14:textId="357C74AA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4F209E" w14:textId="12951316" w:rsidR="005E7CE4" w:rsidRPr="00CA4950" w:rsidRDefault="005E7CE4" w:rsidP="005E7CE4">
            <w:pPr>
              <w:spacing w:before="60" w:after="60"/>
              <w:jc w:val="right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98.4%</w:t>
            </w:r>
          </w:p>
        </w:tc>
      </w:tr>
      <w:tr w:rsidR="005E7CE4" w:rsidRPr="00CA4950" w14:paraId="0FBA8A73" w14:textId="77777777" w:rsidTr="005E7CE4">
        <w:trPr>
          <w:trHeight w:val="312"/>
          <w:jc w:val="center"/>
        </w:trPr>
        <w:tc>
          <w:tcPr>
            <w:tcW w:w="21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</w:tcPr>
          <w:p w14:paraId="6636ABD7" w14:textId="0FAD486B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b/>
                <w:sz w:val="20"/>
                <w:szCs w:val="20"/>
              </w:rPr>
              <w:lastRenderedPageBreak/>
              <w:t>Commercial Portfolio</w:t>
            </w:r>
          </w:p>
        </w:tc>
        <w:tc>
          <w:tcPr>
            <w:tcW w:w="14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6B3DD5" w14:textId="7C09FDFF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284,982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5F2FEF57" w14:textId="266209AA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1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CFDCA13" w14:textId="1A197323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1.4%</w:t>
            </w:r>
          </w:p>
        </w:tc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3F3E2334" w14:textId="5D62B7EA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4DD955BC" w14:textId="2F3680AC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BAF0F4" w14:textId="58F31934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101.8%</w:t>
            </w:r>
          </w:p>
        </w:tc>
      </w:tr>
      <w:tr w:rsidR="005E7CE4" w:rsidRPr="00CA4950" w14:paraId="7E3EE91A" w14:textId="77777777" w:rsidTr="005E7CE4">
        <w:trPr>
          <w:trHeight w:val="312"/>
          <w:jc w:val="center"/>
        </w:trPr>
        <w:tc>
          <w:tcPr>
            <w:tcW w:w="2108" w:type="dxa"/>
            <w:tcBorders>
              <w:top w:val="double" w:sz="4" w:space="0" w:color="auto"/>
            </w:tcBorders>
            <w:shd w:val="clear" w:color="auto" w:fill="auto"/>
            <w:noWrap/>
          </w:tcPr>
          <w:p w14:paraId="6EEBF1C1" w14:textId="0347BD5D" w:rsidR="005E7CE4" w:rsidRPr="005E7CE4" w:rsidRDefault="005E7CE4" w:rsidP="005E7CE4">
            <w:pPr>
              <w:spacing w:before="60" w:after="60"/>
              <w:rPr>
                <w:b/>
                <w:sz w:val="20"/>
                <w:szCs w:val="20"/>
              </w:rPr>
            </w:pPr>
            <w:r w:rsidRPr="005E7CE4">
              <w:rPr>
                <w:b/>
                <w:sz w:val="20"/>
                <w:szCs w:val="20"/>
              </w:rPr>
              <w:t>Overall Portfolio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14:paraId="769B1213" w14:textId="011ACE1D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427,651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6CA66C20" w14:textId="5344F1F5" w:rsidR="005E7CE4" w:rsidRPr="005E7CE4" w:rsidRDefault="005E7CE4" w:rsidP="005E7CE4">
            <w:pPr>
              <w:spacing w:before="60" w:after="60"/>
              <w:ind w:right="432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10.4%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478F00EF" w14:textId="71628DAF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423ADA9" w14:textId="45BED506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156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77CA0841" w14:textId="0A7A504D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B99FB" w14:textId="45E765DC" w:rsidR="005E7CE4" w:rsidRPr="005E7CE4" w:rsidRDefault="005E7CE4" w:rsidP="005E7CE4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5E7CE4">
              <w:rPr>
                <w:rFonts w:ascii="Calibri" w:hAnsi="Calibri"/>
                <w:b/>
                <w:color w:val="000000"/>
                <w:sz w:val="20"/>
                <w:szCs w:val="20"/>
              </w:rPr>
              <w:t>100.6%</w:t>
            </w:r>
          </w:p>
        </w:tc>
      </w:tr>
    </w:tbl>
    <w:p w14:paraId="2EE8980A" w14:textId="77777777" w:rsidR="00F91F03" w:rsidRDefault="00F91F03" w:rsidP="00F91F03">
      <w:pPr>
        <w:spacing w:before="60"/>
        <w:rPr>
          <w:sz w:val="20"/>
          <w:szCs w:val="20"/>
        </w:rPr>
      </w:pPr>
      <w:r w:rsidRPr="00072B4D">
        <w:rPr>
          <w:sz w:val="20"/>
          <w:szCs w:val="20"/>
        </w:rPr>
        <w:t>(Source: PY2015 Evaluation Reports)</w:t>
      </w:r>
    </w:p>
    <w:p w14:paraId="7E87831D" w14:textId="77777777" w:rsidR="008D1D0D" w:rsidRPr="00072B4D" w:rsidRDefault="008D1D0D" w:rsidP="00F91F03">
      <w:pPr>
        <w:spacing w:before="60"/>
        <w:rPr>
          <w:sz w:val="20"/>
          <w:szCs w:val="20"/>
        </w:rPr>
      </w:pPr>
    </w:p>
    <w:p w14:paraId="21B0F571" w14:textId="337F0B68" w:rsidR="008A5E52" w:rsidRDefault="007C71E4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</w:t>
      </w:r>
      <w:r w:rsidR="00BB2B1A">
        <w:rPr>
          <w:rFonts w:ascii="Times New Roman" w:hAnsi="Times New Roman" w:cs="Times New Roman"/>
          <w:sz w:val="22"/>
        </w:rPr>
        <w:t>he Auditor Team</w:t>
      </w:r>
      <w:r w:rsidR="00883F86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has</w:t>
      </w:r>
      <w:r w:rsidR="00883F86">
        <w:rPr>
          <w:rFonts w:ascii="Times New Roman" w:hAnsi="Times New Roman" w:cs="Times New Roman"/>
          <w:sz w:val="22"/>
        </w:rPr>
        <w:t xml:space="preserve"> no changes to the NTG estimates that were reported in the </w:t>
      </w:r>
      <w:r>
        <w:rPr>
          <w:rFonts w:ascii="Times New Roman" w:hAnsi="Times New Roman" w:cs="Times New Roman"/>
          <w:sz w:val="22"/>
        </w:rPr>
        <w:t xml:space="preserve">final </w:t>
      </w:r>
      <w:r w:rsidR="00883F86">
        <w:rPr>
          <w:rFonts w:ascii="Times New Roman" w:hAnsi="Times New Roman" w:cs="Times New Roman"/>
          <w:sz w:val="22"/>
        </w:rPr>
        <w:t>evaluation</w:t>
      </w:r>
      <w:r>
        <w:rPr>
          <w:rFonts w:ascii="Times New Roman" w:hAnsi="Times New Roman" w:cs="Times New Roman"/>
          <w:sz w:val="22"/>
        </w:rPr>
        <w:t xml:space="preserve"> report</w:t>
      </w:r>
      <w:r w:rsidR="00883F86">
        <w:rPr>
          <w:rFonts w:ascii="Times New Roman" w:hAnsi="Times New Roman" w:cs="Times New Roman"/>
          <w:sz w:val="22"/>
        </w:rPr>
        <w:t xml:space="preserve">s. We will be highlighting our </w:t>
      </w:r>
      <w:r w:rsidR="00C036CB">
        <w:rPr>
          <w:rFonts w:ascii="Times New Roman" w:hAnsi="Times New Roman" w:cs="Times New Roman"/>
          <w:sz w:val="22"/>
        </w:rPr>
        <w:t>assessment of the NTG</w:t>
      </w:r>
      <w:r w:rsidR="00883F86">
        <w:rPr>
          <w:rFonts w:ascii="Times New Roman" w:hAnsi="Times New Roman" w:cs="Times New Roman"/>
          <w:sz w:val="22"/>
        </w:rPr>
        <w:t xml:space="preserve"> </w:t>
      </w:r>
      <w:r w:rsidR="00C036CB">
        <w:rPr>
          <w:rFonts w:ascii="Times New Roman" w:hAnsi="Times New Roman" w:cs="Times New Roman"/>
          <w:sz w:val="22"/>
        </w:rPr>
        <w:t xml:space="preserve">findings </w:t>
      </w:r>
      <w:r w:rsidR="00883F86">
        <w:rPr>
          <w:rFonts w:ascii="Times New Roman" w:hAnsi="Times New Roman" w:cs="Times New Roman"/>
          <w:sz w:val="22"/>
        </w:rPr>
        <w:t>in the Final EM&amp;V Auditor’s Report.</w:t>
      </w:r>
      <w:r w:rsidR="008A5E52">
        <w:rPr>
          <w:rFonts w:ascii="Times New Roman" w:hAnsi="Times New Roman" w:cs="Times New Roman"/>
          <w:sz w:val="22"/>
        </w:rPr>
        <w:t xml:space="preserve">  </w:t>
      </w:r>
    </w:p>
    <w:p w14:paraId="5C507286" w14:textId="77777777" w:rsidR="00883F86" w:rsidRDefault="00883F86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</w:p>
    <w:p w14:paraId="0999CD23" w14:textId="1B6BF44B" w:rsidR="00883F86" w:rsidRPr="00883F86" w:rsidRDefault="00883F86" w:rsidP="00B5498C">
      <w:pPr>
        <w:pStyle w:val="FaxBodyText"/>
        <w:framePr w:hSpace="0" w:wrap="auto" w:vAnchor="margin" w:yAlign="inline"/>
        <w:spacing w:line="300" w:lineRule="atLeast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>Please let us know if you have any questions.</w:t>
      </w:r>
    </w:p>
    <w:p w14:paraId="3FFE5768" w14:textId="77777777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p w14:paraId="1787ADFA" w14:textId="25CD4C48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883F86">
        <w:rPr>
          <w:rFonts w:ascii="Times New Roman" w:hAnsi="Times New Roman" w:cs="Times New Roman"/>
          <w:sz w:val="22"/>
        </w:rPr>
        <w:t>Best regards,</w:t>
      </w:r>
    </w:p>
    <w:p w14:paraId="4B2A034C" w14:textId="77777777" w:rsidR="00883F86" w:rsidRPr="00883F86" w:rsidRDefault="00883F86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p w14:paraId="6DC54798" w14:textId="77777777" w:rsidR="00455AEB" w:rsidRDefault="00455AEB" w:rsidP="00455AEB">
      <w:pPr>
        <w:pStyle w:val="FaxBodyText"/>
        <w:framePr w:hSpace="0" w:wrap="auto" w:vAnchor="margin" w:yAlign="inline"/>
      </w:pPr>
    </w:p>
    <w:p w14:paraId="247CBB9B" w14:textId="39E20F9E" w:rsidR="00A32639" w:rsidRDefault="00217CE6" w:rsidP="00455AEB">
      <w:pPr>
        <w:pStyle w:val="FaxBodyText"/>
        <w:framePr w:hSpace="0" w:wrap="auto" w:vAnchor="margin" w:yAlign="inline"/>
      </w:pPr>
      <w:r>
        <w:rPr>
          <w:noProof/>
        </w:rPr>
        <w:drawing>
          <wp:inline distT="0" distB="0" distL="0" distR="0" wp14:anchorId="51FC3274" wp14:editId="7BF6A1B2">
            <wp:extent cx="2169949" cy="2963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750" cy="2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8A07" w14:textId="308CCC0C" w:rsidR="00455AEB" w:rsidRPr="00B5498C" w:rsidRDefault="00A32639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B5498C">
        <w:rPr>
          <w:rFonts w:ascii="Times New Roman" w:hAnsi="Times New Roman" w:cs="Times New Roman"/>
          <w:sz w:val="22"/>
        </w:rPr>
        <w:t xml:space="preserve">Dr. </w:t>
      </w:r>
      <w:r w:rsidR="00455AEB" w:rsidRPr="00B5498C">
        <w:rPr>
          <w:rFonts w:ascii="Times New Roman" w:hAnsi="Times New Roman" w:cs="Times New Roman"/>
          <w:sz w:val="22"/>
        </w:rPr>
        <w:t>Katherine Johnson</w:t>
      </w:r>
    </w:p>
    <w:p w14:paraId="13B41978" w14:textId="77777777" w:rsidR="00455AEB" w:rsidRPr="00B5498C" w:rsidRDefault="00455AEB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  <w:r w:rsidRPr="00B5498C">
        <w:rPr>
          <w:rFonts w:ascii="Times New Roman" w:hAnsi="Times New Roman" w:cs="Times New Roman"/>
          <w:sz w:val="22"/>
        </w:rPr>
        <w:t>Johnson Consulting Group</w:t>
      </w:r>
    </w:p>
    <w:p w14:paraId="7F41CBC9" w14:textId="77777777" w:rsidR="00455AEB" w:rsidRPr="00B5498C" w:rsidRDefault="00455AEB" w:rsidP="00455AEB">
      <w:pPr>
        <w:pStyle w:val="FaxBodyText"/>
        <w:framePr w:hSpace="0" w:wrap="auto" w:vAnchor="margin" w:yAlign="inline"/>
        <w:rPr>
          <w:rFonts w:ascii="Times New Roman" w:hAnsi="Times New Roman" w:cs="Times New Roman"/>
          <w:sz w:val="22"/>
        </w:rPr>
      </w:pPr>
    </w:p>
    <w:sectPr w:rsidR="00455AEB" w:rsidRPr="00B5498C" w:rsidSect="003F0E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0E933" w14:textId="77777777" w:rsidR="00E177B1" w:rsidRDefault="00E177B1">
      <w:r>
        <w:separator/>
      </w:r>
    </w:p>
  </w:endnote>
  <w:endnote w:type="continuationSeparator" w:id="0">
    <w:p w14:paraId="3540E52D" w14:textId="77777777" w:rsidR="00E177B1" w:rsidRDefault="00E1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CEDA6" w14:textId="77777777" w:rsidR="005E7CE4" w:rsidRDefault="005E7CE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43C18" w14:textId="77777777" w:rsidR="005E7CE4" w:rsidRDefault="005E7CE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9CE76" w14:textId="77777777" w:rsidR="005E7CE4" w:rsidRDefault="005E7CE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63F13" w14:textId="77777777" w:rsidR="00E177B1" w:rsidRDefault="00E177B1">
      <w:r>
        <w:separator/>
      </w:r>
    </w:p>
  </w:footnote>
  <w:footnote w:type="continuationSeparator" w:id="0">
    <w:p w14:paraId="679C3290" w14:textId="77777777" w:rsidR="00E177B1" w:rsidRDefault="00E177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2ECF" w14:textId="77777777" w:rsidR="005E7CE4" w:rsidRDefault="005E7CE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85EA7" w14:textId="77777777" w:rsidR="009F0B13" w:rsidRDefault="009F0B13">
    <w:pPr>
      <w:pStyle w:val="FaxHeading"/>
    </w:pPr>
    <w:r>
      <w:t>memo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AFE5" w14:textId="77777777" w:rsidR="005E7CE4" w:rsidRDefault="005E7C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56E0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65E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25C5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7284B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175FD0"/>
    <w:multiLevelType w:val="hybridMultilevel"/>
    <w:tmpl w:val="F41A1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94579C"/>
    <w:multiLevelType w:val="hybridMultilevel"/>
    <w:tmpl w:val="A586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C00B9"/>
    <w:multiLevelType w:val="hybridMultilevel"/>
    <w:tmpl w:val="B80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E0300"/>
    <w:multiLevelType w:val="hybridMultilevel"/>
    <w:tmpl w:val="A164F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A5282"/>
    <w:multiLevelType w:val="hybridMultilevel"/>
    <w:tmpl w:val="1B60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D6168"/>
    <w:multiLevelType w:val="hybridMultilevel"/>
    <w:tmpl w:val="A54C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A5005"/>
    <w:multiLevelType w:val="hybridMultilevel"/>
    <w:tmpl w:val="16B0B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7C1695"/>
    <w:multiLevelType w:val="hybridMultilevel"/>
    <w:tmpl w:val="F5AC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D2307"/>
    <w:multiLevelType w:val="hybridMultilevel"/>
    <w:tmpl w:val="06CE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EB"/>
    <w:rsid w:val="00041D28"/>
    <w:rsid w:val="000B0F45"/>
    <w:rsid w:val="000B5C24"/>
    <w:rsid w:val="00156022"/>
    <w:rsid w:val="00172355"/>
    <w:rsid w:val="001B50A7"/>
    <w:rsid w:val="0020319B"/>
    <w:rsid w:val="00217CE6"/>
    <w:rsid w:val="003C6120"/>
    <w:rsid w:val="003C7954"/>
    <w:rsid w:val="003F0E6F"/>
    <w:rsid w:val="00412DA7"/>
    <w:rsid w:val="00455AEB"/>
    <w:rsid w:val="004904F8"/>
    <w:rsid w:val="00493092"/>
    <w:rsid w:val="004A2C59"/>
    <w:rsid w:val="004E321F"/>
    <w:rsid w:val="0053415F"/>
    <w:rsid w:val="005B5237"/>
    <w:rsid w:val="005C72F4"/>
    <w:rsid w:val="005E7CE4"/>
    <w:rsid w:val="006B4790"/>
    <w:rsid w:val="006D265C"/>
    <w:rsid w:val="006E0F30"/>
    <w:rsid w:val="006E425F"/>
    <w:rsid w:val="0071717E"/>
    <w:rsid w:val="007C71E4"/>
    <w:rsid w:val="007D055D"/>
    <w:rsid w:val="00865DAC"/>
    <w:rsid w:val="00883F86"/>
    <w:rsid w:val="008A5E52"/>
    <w:rsid w:val="008C472E"/>
    <w:rsid w:val="008D1D0D"/>
    <w:rsid w:val="00925CDB"/>
    <w:rsid w:val="0097764C"/>
    <w:rsid w:val="00990EF2"/>
    <w:rsid w:val="009F0B13"/>
    <w:rsid w:val="00A32639"/>
    <w:rsid w:val="00AB3EE3"/>
    <w:rsid w:val="00B16A47"/>
    <w:rsid w:val="00B5498C"/>
    <w:rsid w:val="00BB2B1A"/>
    <w:rsid w:val="00BB465D"/>
    <w:rsid w:val="00BE2D2B"/>
    <w:rsid w:val="00C036CB"/>
    <w:rsid w:val="00D712EB"/>
    <w:rsid w:val="00DA1FAE"/>
    <w:rsid w:val="00E177B1"/>
    <w:rsid w:val="00EA48A9"/>
    <w:rsid w:val="00EF5AE9"/>
    <w:rsid w:val="00F56A4E"/>
    <w:rsid w:val="00F630D0"/>
    <w:rsid w:val="00F91F03"/>
    <w:rsid w:val="00FB50B2"/>
    <w:rsid w:val="00FD1272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5EE1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3F0E6F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3F0E6F"/>
    <w:pPr>
      <w:framePr w:hSpace="180" w:wrap="around" w:vAnchor="text" w:hAnchor="text" w:y="55"/>
      <w:spacing w:after="2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E6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3F0E6F"/>
    <w:rPr>
      <w:color w:val="D9D9D9" w:themeColor="background1" w:themeShade="D9"/>
      <w:sz w:val="96"/>
    </w:rPr>
  </w:style>
  <w:style w:type="table" w:styleId="TableGrid">
    <w:name w:val="Table Grid"/>
    <w:basedOn w:val="TableNormal"/>
    <w:uiPriority w:val="1"/>
    <w:rsid w:val="003F0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0E6F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3F0E6F"/>
    <w:rPr>
      <w:b/>
      <w:sz w:val="18"/>
    </w:rPr>
  </w:style>
  <w:style w:type="paragraph" w:customStyle="1" w:styleId="FaxHeading">
    <w:name w:val="Fax Heading"/>
    <w:basedOn w:val="Normal"/>
    <w:qFormat/>
    <w:rsid w:val="003F0E6F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3F0E6F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3F0E6F"/>
    <w:pPr>
      <w:framePr w:hSpace="180" w:wrap="around" w:vAnchor="text" w:hAnchor="text" w:y="55"/>
    </w:pPr>
  </w:style>
  <w:style w:type="character" w:customStyle="1" w:styleId="HeaderChar">
    <w:name w:val="Header Char"/>
    <w:basedOn w:val="DefaultParagraphFont"/>
    <w:link w:val="Header"/>
    <w:uiPriority w:val="99"/>
    <w:rsid w:val="003F0E6F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F0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E6F"/>
    <w:rPr>
      <w:sz w:val="18"/>
    </w:rPr>
  </w:style>
  <w:style w:type="paragraph" w:styleId="Caption">
    <w:name w:val="caption"/>
    <w:aliases w:val="Caption Char,Table Caption,Char"/>
    <w:basedOn w:val="Normal"/>
    <w:next w:val="Normal"/>
    <w:link w:val="CaptionChar1"/>
    <w:uiPriority w:val="99"/>
    <w:qFormat/>
    <w:rsid w:val="00883F86"/>
    <w:pPr>
      <w:keepNext/>
      <w:spacing w:before="240" w:after="60"/>
      <w:jc w:val="center"/>
    </w:pPr>
    <w:rPr>
      <w:rFonts w:ascii="Times New Roman" w:hAnsi="Times New Roman" w:cs="Times New Roman"/>
      <w:b/>
      <w:sz w:val="22"/>
    </w:rPr>
  </w:style>
  <w:style w:type="character" w:customStyle="1" w:styleId="CaptionChar1">
    <w:name w:val="Caption Char1"/>
    <w:aliases w:val="Caption Char Char,Table Caption Char,Char Char"/>
    <w:basedOn w:val="DefaultParagraphFont"/>
    <w:link w:val="Caption"/>
    <w:uiPriority w:val="99"/>
    <w:locked/>
    <w:rsid w:val="00883F86"/>
    <w:rPr>
      <w:rFonts w:ascii="Times New Roman" w:hAnsi="Times New Roman" w:cs="Times New Roman"/>
      <w:b/>
    </w:rPr>
  </w:style>
  <w:style w:type="paragraph" w:styleId="NoSpacing">
    <w:name w:val="No Spacing"/>
    <w:uiPriority w:val="1"/>
    <w:qFormat/>
    <w:rsid w:val="00883F86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w w:val="105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2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B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F03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5C943CB274ED44B3C8EAA7E173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3D4B-E71F-E041-AE49-8DEC83CD6E83}"/>
      </w:docPartPr>
      <w:docPartBody>
        <w:p w:rsidR="00224707" w:rsidRDefault="00224707">
          <w:pPr>
            <w:pStyle w:val="525C943CB274ED44B3C8EAA7E1733354"/>
          </w:pPr>
          <w:r>
            <w:t>[Company name]</w:t>
          </w:r>
        </w:p>
      </w:docPartBody>
    </w:docPart>
    <w:docPart>
      <w:docPartPr>
        <w:name w:val="06B8FB0F48DA4B4A8FE17C886A8D3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C8FA-2CF2-7748-BE58-D525D2BDF925}"/>
      </w:docPartPr>
      <w:docPartBody>
        <w:p w:rsidR="00224707" w:rsidRDefault="00224707">
          <w:pPr>
            <w:pStyle w:val="06B8FB0F48DA4B4A8FE17C886A8D3411"/>
          </w:pPr>
          <w:r>
            <w:t>[Your name]</w:t>
          </w:r>
        </w:p>
      </w:docPartBody>
    </w:docPart>
    <w:docPart>
      <w:docPartPr>
        <w:name w:val="C3EAF1CC9C23564EB387D9BC4E47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88027-7580-C84A-A2E3-263C8C3E05B1}"/>
      </w:docPartPr>
      <w:docPartBody>
        <w:p w:rsidR="00224707" w:rsidRDefault="00224707">
          <w:pPr>
            <w:pStyle w:val="C3EAF1CC9C23564EB387D9BC4E47C55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7"/>
    <w:rsid w:val="00224707"/>
    <w:rsid w:val="003F416E"/>
    <w:rsid w:val="004F0DE2"/>
    <w:rsid w:val="00821890"/>
    <w:rsid w:val="00A46A7E"/>
    <w:rsid w:val="00AA127B"/>
    <w:rsid w:val="00AA4AFC"/>
    <w:rsid w:val="00D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5C943CB274ED44B3C8EAA7E1733354">
    <w:name w:val="525C943CB274ED44B3C8EAA7E1733354"/>
  </w:style>
  <w:style w:type="paragraph" w:customStyle="1" w:styleId="2821F16ABCFCD946ADBE0E59E2042764">
    <w:name w:val="2821F16ABCFCD946ADBE0E59E2042764"/>
  </w:style>
  <w:style w:type="paragraph" w:customStyle="1" w:styleId="06B8FB0F48DA4B4A8FE17C886A8D3411">
    <w:name w:val="06B8FB0F48DA4B4A8FE17C886A8D3411"/>
  </w:style>
  <w:style w:type="paragraph" w:customStyle="1" w:styleId="19D55C6E2C381A439F9EB579ED559DD1">
    <w:name w:val="19D55C6E2C381A439F9EB579ED559DD1"/>
  </w:style>
  <w:style w:type="paragraph" w:customStyle="1" w:styleId="C3EAF1CC9C23564EB387D9BC4E47C55E">
    <w:name w:val="C3EAF1CC9C23564EB387D9BC4E47C55E"/>
  </w:style>
  <w:style w:type="paragraph" w:customStyle="1" w:styleId="109A4C4116E6EA4796FFB0003790E88C">
    <w:name w:val="109A4C4116E6EA4796FFB0003790E88C"/>
  </w:style>
  <w:style w:type="paragraph" w:customStyle="1" w:styleId="EA5A99BA04859F4F937B34F10D5CD1DB">
    <w:name w:val="EA5A99BA04859F4F937B34F10D5CD1DB"/>
  </w:style>
  <w:style w:type="paragraph" w:customStyle="1" w:styleId="D752177BBD81EE42930BC853DCD66925">
    <w:name w:val="D752177BBD81EE42930BC853DCD66925"/>
    <w:rsid w:val="004F0DE2"/>
  </w:style>
  <w:style w:type="paragraph" w:customStyle="1" w:styleId="736A6BC94FF463429A615BD31CD4D16A">
    <w:name w:val="736A6BC94FF463429A615BD31CD4D16A"/>
    <w:rsid w:val="004F0DE2"/>
  </w:style>
  <w:style w:type="paragraph" w:customStyle="1" w:styleId="21546ACB3401C84786BA7751A0EE51B1">
    <w:name w:val="21546ACB3401C84786BA7751A0EE51B1"/>
    <w:rsid w:val="004F0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customStreamsXsn.xml">
  <tns:showOnOpen>true</tns:showOnOpen>
  <tns:defaultPropertyEditorNamespace>Office properties</tns:defaultPropertyEditorNamespace>
</tns:customPropertyEditors>
</file>

<file path=customXml/itemProps1.xml><?xml version="1.0" encoding="utf-8"?>
<ds:datastoreItem xmlns:ds="http://schemas.openxmlformats.org/officeDocument/2006/customXml" ds:itemID="{CA788938-3F56-469F-B410-84E1B2639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87199-2424-4E7F-9203-256E45805BCB}">
  <ds:schemaRefs>
    <ds:schemaRef ds:uri="customStreamsXsn.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Consulting Group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Johnson, Johnson Consulting Group</dc:creator>
  <cp:lastModifiedBy>Katherine Johnson</cp:lastModifiedBy>
  <cp:revision>2</cp:revision>
  <cp:lastPrinted>2016-05-20T12:21:00Z</cp:lastPrinted>
  <dcterms:created xsi:type="dcterms:W3CDTF">2016-05-20T15:26:00Z</dcterms:created>
  <dcterms:modified xsi:type="dcterms:W3CDTF">2016-05-20T15:26:00Z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TC101731869990</vt:lpwstr>
  </property>
</Properties>
</file>