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pPr>
        <w:jc w:val="center"/>
        <w:rPr>
          <w:rFonts w:ascii="Times New Roman" w:hAnsi="Times New Roman" w:cs="Times New Roman"/>
          <w:b/>
          <w:bCs/>
          <w:szCs w:val="24"/>
        </w:rPr>
      </w:pPr>
      <w:r>
        <w:rPr>
          <w:rFonts w:ascii="Times New Roman" w:hAnsi="Times New Roman" w:cs="Times New Roman"/>
          <w:b/>
          <w:bCs/>
          <w:szCs w:val="24"/>
        </w:rPr>
        <w:t>BEFORE THE PUBLIC SERVICE COMMISSION</w:t>
      </w:r>
    </w:p>
    <w:p>
      <w:pPr>
        <w:jc w:val="center"/>
        <w:rPr>
          <w:rFonts w:ascii="Times New Roman" w:hAnsi="Times New Roman" w:cs="Times New Roman"/>
          <w:b/>
          <w:bCs/>
          <w:szCs w:val="24"/>
        </w:rPr>
      </w:pPr>
      <w:r>
        <w:rPr>
          <w:rFonts w:ascii="Times New Roman" w:hAnsi="Times New Roman" w:cs="Times New Roman"/>
          <w:b/>
          <w:bCs/>
          <w:szCs w:val="24"/>
        </w:rPr>
        <w:t>OF THE STATE OF MISSOURI</w:t>
      </w:r>
    </w:p>
    <w:p>
      <w:pPr>
        <w:jc w:val="center"/>
        <w:rPr>
          <w:rFonts w:ascii="Times New Roman" w:hAnsi="Times New Roman" w:cs="Times New Roman"/>
          <w:b/>
          <w:bCs/>
          <w:szCs w:val="24"/>
        </w:rPr>
      </w:pPr>
    </w:p>
    <w:tbl>
      <w:tblPr>
        <w:tblStyle w:val="TableGrid"/>
        <w:tblW w:w="0" w:type="auto"/>
        <w:tblLook w:val="04A0" w:firstRow="1" w:lastRow="0" w:firstColumn="1" w:lastColumn="0" w:noHBand="0" w:noVBand="1"/>
      </w:tblPr>
      <w:tblGrid>
        <w:gridCol w:w="4669"/>
        <w:gridCol w:w="296"/>
        <w:gridCol w:w="4395"/>
      </w:tblGrid>
      <w:tr>
        <w:tc>
          <w:tcPr>
            <w:tcW w:w="4675" w:type="dxa"/>
            <w:tcBorders>
              <w:top w:val="nil"/>
              <w:left w:val="nil"/>
              <w:bottom w:val="nil"/>
              <w:right w:val="nil"/>
            </w:tcBorders>
          </w:tcPr>
          <w:p>
            <w:pPr>
              <w:rPr>
                <w:rFonts w:ascii="Times New Roman" w:hAnsi="Times New Roman" w:cs="Times New Roman"/>
                <w:szCs w:val="24"/>
              </w:rPr>
            </w:pPr>
            <w:r>
              <w:rPr>
                <w:rFonts w:ascii="Times New Roman" w:hAnsi="Times New Roman" w:cs="Times New Roman"/>
                <w:szCs w:val="24"/>
              </w:rPr>
              <w:t>In the Matter of</w:t>
            </w:r>
          </w:p>
          <w:p>
            <w:pPr>
              <w:rPr>
                <w:rFonts w:ascii="Times New Roman" w:hAnsi="Times New Roman" w:cs="Times New Roman"/>
                <w:szCs w:val="24"/>
              </w:rPr>
            </w:pPr>
          </w:p>
          <w:p>
            <w:pPr>
              <w:rPr>
                <w:rFonts w:ascii="Times New Roman" w:hAnsi="Times New Roman" w:cs="Times New Roman"/>
                <w:szCs w:val="24"/>
              </w:rPr>
            </w:pPr>
            <w:r>
              <w:rPr>
                <w:rFonts w:ascii="Times New Roman" w:hAnsi="Times New Roman" w:cs="Times New Roman"/>
                <w:szCs w:val="24"/>
              </w:rPr>
              <w:t xml:space="preserve">Joint Application of </w:t>
            </w:r>
            <w:r>
              <w:rPr>
                <w:rFonts w:ascii="Times New Roman" w:hAnsi="Times New Roman"/>
              </w:rPr>
              <w:t xml:space="preserve">Charter </w:t>
            </w:r>
            <w:proofErr w:type="spellStart"/>
            <w:r>
              <w:rPr>
                <w:rFonts w:ascii="Times New Roman" w:hAnsi="Times New Roman" w:cs="Times New Roman"/>
                <w:szCs w:val="24"/>
              </w:rPr>
              <w:t>Fiberlink</w:t>
            </w:r>
            <w:proofErr w:type="spellEnd"/>
            <w:r>
              <w:rPr>
                <w:rFonts w:ascii="Times New Roman" w:hAnsi="Times New Roman" w:cs="Times New Roman"/>
                <w:szCs w:val="24"/>
              </w:rPr>
              <w:t xml:space="preserve"> – Missouri, LLC and Time Warner Cable Information Services (Missouri), LLC for Designation as Eligible Telecommunications Carriers to Receive Rural Digital Opportunity Fund Auction (Auction 904) Support for Voice and Broadband Services</w:t>
            </w:r>
          </w:p>
        </w:tc>
        <w:tc>
          <w:tcPr>
            <w:tcW w:w="270" w:type="dxa"/>
            <w:tcBorders>
              <w:top w:val="nil"/>
              <w:left w:val="nil"/>
              <w:bottom w:val="nil"/>
              <w:right w:val="nil"/>
            </w:tcBorders>
          </w:tcPr>
          <w:p>
            <w:pPr>
              <w:jc w:val="center"/>
              <w:rPr>
                <w:rFonts w:ascii="Times New Roman" w:hAnsi="Times New Roman" w:cs="Times New Roman"/>
                <w:szCs w:val="24"/>
              </w:rPr>
            </w:pPr>
            <w:r>
              <w:rPr>
                <w:rFonts w:ascii="Times New Roman" w:hAnsi="Times New Roman" w:cs="Times New Roman"/>
                <w:szCs w:val="24"/>
              </w:rPr>
              <w:t>)</w:t>
            </w:r>
          </w:p>
          <w:p>
            <w:pPr>
              <w:jc w:val="center"/>
              <w:rPr>
                <w:rFonts w:ascii="Times New Roman" w:hAnsi="Times New Roman" w:cs="Times New Roman"/>
                <w:szCs w:val="24"/>
              </w:rPr>
            </w:pPr>
            <w:r>
              <w:rPr>
                <w:rFonts w:ascii="Times New Roman" w:hAnsi="Times New Roman" w:cs="Times New Roman"/>
                <w:szCs w:val="24"/>
              </w:rPr>
              <w:t>)</w:t>
            </w:r>
          </w:p>
          <w:p>
            <w:pPr>
              <w:jc w:val="center"/>
              <w:rPr>
                <w:rFonts w:ascii="Times New Roman" w:hAnsi="Times New Roman" w:cs="Times New Roman"/>
                <w:szCs w:val="24"/>
              </w:rPr>
            </w:pPr>
            <w:r>
              <w:rPr>
                <w:rFonts w:ascii="Times New Roman" w:hAnsi="Times New Roman" w:cs="Times New Roman"/>
                <w:szCs w:val="24"/>
              </w:rPr>
              <w:t>)</w:t>
            </w:r>
          </w:p>
          <w:p>
            <w:pPr>
              <w:jc w:val="center"/>
              <w:rPr>
                <w:rFonts w:ascii="Times New Roman" w:hAnsi="Times New Roman" w:cs="Times New Roman"/>
                <w:szCs w:val="24"/>
              </w:rPr>
            </w:pPr>
            <w:r>
              <w:rPr>
                <w:rFonts w:ascii="Times New Roman" w:hAnsi="Times New Roman" w:cs="Times New Roman"/>
                <w:szCs w:val="24"/>
              </w:rPr>
              <w:t>)</w:t>
            </w:r>
          </w:p>
          <w:p>
            <w:pPr>
              <w:jc w:val="center"/>
              <w:rPr>
                <w:rFonts w:ascii="Times New Roman" w:hAnsi="Times New Roman" w:cs="Times New Roman"/>
                <w:szCs w:val="24"/>
              </w:rPr>
            </w:pPr>
            <w:r>
              <w:rPr>
                <w:rFonts w:ascii="Times New Roman" w:hAnsi="Times New Roman" w:cs="Times New Roman"/>
                <w:szCs w:val="24"/>
              </w:rPr>
              <w:t>)</w:t>
            </w:r>
          </w:p>
          <w:p>
            <w:pPr>
              <w:jc w:val="center"/>
              <w:rPr>
                <w:rFonts w:ascii="Times New Roman" w:hAnsi="Times New Roman" w:cs="Times New Roman"/>
                <w:szCs w:val="24"/>
              </w:rPr>
            </w:pPr>
            <w:r>
              <w:rPr>
                <w:rFonts w:ascii="Times New Roman" w:hAnsi="Times New Roman" w:cs="Times New Roman"/>
                <w:szCs w:val="24"/>
              </w:rPr>
              <w:t>)</w:t>
            </w:r>
          </w:p>
          <w:p>
            <w:pPr>
              <w:jc w:val="center"/>
              <w:rPr>
                <w:rFonts w:ascii="Times New Roman" w:hAnsi="Times New Roman" w:cs="Times New Roman"/>
                <w:szCs w:val="24"/>
              </w:rPr>
            </w:pPr>
            <w:r>
              <w:rPr>
                <w:rFonts w:ascii="Times New Roman" w:hAnsi="Times New Roman" w:cs="Times New Roman"/>
                <w:szCs w:val="24"/>
              </w:rPr>
              <w:t>)</w:t>
            </w:r>
          </w:p>
          <w:p>
            <w:pPr>
              <w:jc w:val="center"/>
              <w:rPr>
                <w:rFonts w:ascii="Times New Roman" w:hAnsi="Times New Roman" w:cs="Times New Roman"/>
                <w:szCs w:val="24"/>
              </w:rPr>
            </w:pPr>
            <w:r>
              <w:rPr>
                <w:rFonts w:ascii="Times New Roman" w:hAnsi="Times New Roman" w:cs="Times New Roman"/>
                <w:szCs w:val="24"/>
              </w:rPr>
              <w:t>)</w:t>
            </w:r>
          </w:p>
          <w:p>
            <w:pPr>
              <w:jc w:val="center"/>
              <w:rPr>
                <w:rFonts w:ascii="Times New Roman" w:hAnsi="Times New Roman" w:cs="Times New Roman"/>
                <w:szCs w:val="24"/>
              </w:rPr>
            </w:pPr>
            <w:r>
              <w:rPr>
                <w:rFonts w:ascii="Times New Roman" w:hAnsi="Times New Roman" w:cs="Times New Roman"/>
                <w:szCs w:val="24"/>
              </w:rPr>
              <w:t>)</w:t>
            </w:r>
          </w:p>
          <w:p>
            <w:pPr>
              <w:jc w:val="center"/>
              <w:rPr>
                <w:rFonts w:ascii="Times New Roman" w:hAnsi="Times New Roman" w:cs="Times New Roman"/>
                <w:b/>
                <w:bCs/>
                <w:szCs w:val="24"/>
              </w:rPr>
            </w:pPr>
            <w:r>
              <w:rPr>
                <w:rFonts w:ascii="Times New Roman" w:hAnsi="Times New Roman" w:cs="Times New Roman"/>
                <w:szCs w:val="24"/>
              </w:rPr>
              <w:t>)</w:t>
            </w:r>
          </w:p>
        </w:tc>
        <w:tc>
          <w:tcPr>
            <w:tcW w:w="4405" w:type="dxa"/>
            <w:tcBorders>
              <w:top w:val="nil"/>
              <w:left w:val="nil"/>
              <w:bottom w:val="nil"/>
              <w:right w:val="nil"/>
            </w:tcBorders>
          </w:tcPr>
          <w:p>
            <w:pPr>
              <w:jc w:val="center"/>
              <w:rPr>
                <w:rFonts w:ascii="Times New Roman" w:hAnsi="Times New Roman" w:cs="Times New Roman"/>
                <w:b/>
                <w:bCs/>
                <w:szCs w:val="24"/>
              </w:rPr>
            </w:pPr>
          </w:p>
          <w:p>
            <w:pPr>
              <w:jc w:val="center"/>
              <w:rPr>
                <w:rFonts w:ascii="Times New Roman" w:hAnsi="Times New Roman" w:cs="Times New Roman"/>
                <w:b/>
                <w:bCs/>
                <w:szCs w:val="24"/>
              </w:rPr>
            </w:pPr>
          </w:p>
          <w:p>
            <w:pPr>
              <w:jc w:val="center"/>
              <w:rPr>
                <w:rFonts w:ascii="Times New Roman" w:hAnsi="Times New Roman" w:cs="Times New Roman"/>
                <w:b/>
                <w:bCs/>
                <w:szCs w:val="24"/>
              </w:rPr>
            </w:pPr>
          </w:p>
          <w:p>
            <w:pPr>
              <w:jc w:val="center"/>
              <w:rPr>
                <w:rFonts w:ascii="Times New Roman" w:hAnsi="Times New Roman" w:cs="Times New Roman"/>
                <w:szCs w:val="24"/>
              </w:rPr>
            </w:pPr>
            <w:r>
              <w:rPr>
                <w:rFonts w:ascii="Times New Roman" w:hAnsi="Times New Roman" w:cs="Times New Roman"/>
                <w:szCs w:val="24"/>
              </w:rPr>
              <w:t>File No. TA-2021-0204</w:t>
            </w:r>
          </w:p>
        </w:tc>
      </w:tr>
    </w:tbl>
    <w:p>
      <w:pPr>
        <w:jc w:val="center"/>
        <w:rPr>
          <w:rFonts w:ascii="Times New Roman" w:hAnsi="Times New Roman" w:cs="Times New Roman"/>
          <w:szCs w:val="24"/>
        </w:rPr>
      </w:pPr>
    </w:p>
    <w:p>
      <w:pPr>
        <w:jc w:val="center"/>
        <w:rPr>
          <w:rFonts w:ascii="Times New Roman" w:hAnsi="Times New Roman" w:cs="Times New Roman"/>
          <w:szCs w:val="24"/>
          <w:u w:val="single"/>
        </w:rPr>
      </w:pPr>
      <w:r>
        <w:rPr>
          <w:rFonts w:ascii="Times New Roman" w:hAnsi="Times New Roman" w:cs="Times New Roman"/>
          <w:b/>
          <w:bCs/>
          <w:szCs w:val="24"/>
          <w:u w:val="single"/>
        </w:rPr>
        <w:t xml:space="preserve">Notice of Change to ETC-Designated Service Areas </w:t>
      </w:r>
    </w:p>
    <w:p>
      <w:pPr>
        <w:jc w:val="center"/>
        <w:rPr>
          <w:rFonts w:ascii="Times New Roman" w:hAnsi="Times New Roman" w:cs="Times New Roman"/>
          <w:szCs w:val="24"/>
        </w:rPr>
      </w:pPr>
    </w:p>
    <w:p>
      <w:pPr>
        <w:spacing w:line="480" w:lineRule="auto"/>
        <w:jc w:val="both"/>
        <w:rPr>
          <w:rFonts w:ascii="Times New Roman" w:hAnsi="Times New Roman" w:cs="Times New Roman"/>
        </w:rPr>
      </w:pPr>
      <w:r>
        <w:rPr>
          <w:rFonts w:ascii="Times New Roman" w:hAnsi="Times New Roman" w:cs="Times New Roman"/>
        </w:rPr>
        <w:tab/>
        <w:t xml:space="preserve">Charter </w:t>
      </w:r>
      <w:proofErr w:type="spellStart"/>
      <w:r>
        <w:rPr>
          <w:rFonts w:ascii="Times New Roman" w:hAnsi="Times New Roman" w:cs="Times New Roman"/>
        </w:rPr>
        <w:t>Fiberlink</w:t>
      </w:r>
      <w:proofErr w:type="spellEnd"/>
      <w:r>
        <w:rPr>
          <w:rFonts w:ascii="Times New Roman" w:hAnsi="Times New Roman" w:cs="Times New Roman"/>
        </w:rPr>
        <w:t xml:space="preserve"> - Missouri, LLC and Time Warner Cable Information Services (Missouri), LLC (each individually, a “Charter Entity,” and collectively, the “Charter Entities”)</w:t>
      </w:r>
      <w:r>
        <w:rPr>
          <w:rStyle w:val="FootnoteReference"/>
          <w:rFonts w:ascii="Times New Roman" w:hAnsi="Times New Roman" w:cs="Times New Roman"/>
        </w:rPr>
        <w:footnoteReference w:id="2"/>
      </w:r>
      <w:r>
        <w:rPr>
          <w:rFonts w:ascii="Times New Roman" w:hAnsi="Times New Roman" w:cs="Times New Roman"/>
        </w:rPr>
        <w:t xml:space="preserve"> hereby notify the Missouri Public Service Commission (the “Commission”) of the following changes to their respective ETC-designated service areas.</w:t>
      </w:r>
    </w:p>
    <w:p>
      <w:pPr>
        <w:spacing w:line="480" w:lineRule="auto"/>
        <w:jc w:val="both"/>
        <w:rPr>
          <w:rFonts w:ascii="Times New Roman" w:hAnsi="Times New Roman" w:cs="Times New Roman"/>
        </w:rPr>
      </w:pPr>
      <w:r>
        <w:rPr>
          <w:rFonts w:ascii="Times New Roman" w:hAnsi="Times New Roman" w:cs="Times New Roman"/>
        </w:rPr>
        <w:tab/>
        <w:t>1.</w:t>
      </w:r>
      <w:r>
        <w:rPr>
          <w:rFonts w:ascii="Times New Roman" w:hAnsi="Times New Roman" w:cs="Times New Roman"/>
        </w:rPr>
        <w:tab/>
        <w:t xml:space="preserve">In its April 7, 2021 </w:t>
      </w:r>
      <w:r>
        <w:rPr>
          <w:rFonts w:ascii="Times New Roman" w:hAnsi="Times New Roman" w:cs="Times New Roman"/>
          <w:i/>
          <w:iCs/>
        </w:rPr>
        <w:t>Order Granting Designation as an Eligible Telecommunications Carrier</w:t>
      </w:r>
      <w:r>
        <w:rPr>
          <w:rFonts w:ascii="Times New Roman" w:hAnsi="Times New Roman" w:cs="Times New Roman"/>
        </w:rPr>
        <w:t xml:space="preserve"> (the “ETC Designation Order”), the Commission designated the Charter Entities as ETCs in those census blocks identified in Exhibits A and B to the Charter Entities’ ETC joint application.</w:t>
      </w:r>
      <w:r>
        <w:rPr>
          <w:rStyle w:val="FootnoteReference"/>
          <w:rFonts w:ascii="Times New Roman" w:hAnsi="Times New Roman" w:cs="Times New Roman"/>
        </w:rPr>
        <w:footnoteReference w:id="3"/>
      </w:r>
      <w:r>
        <w:rPr>
          <w:rFonts w:ascii="Times New Roman" w:hAnsi="Times New Roman" w:cs="Times New Roman"/>
        </w:rPr>
        <w:t xml:space="preserve"> The Commission also provided that the Charter Entities could modify their ETC-designated service areas to remove any census blocks that the FCC may remove from eligibility for RDOF support:</w:t>
      </w:r>
    </w:p>
    <w:p>
      <w:pPr>
        <w:ind w:left="1440" w:right="1440"/>
        <w:jc w:val="both"/>
        <w:rPr>
          <w:rFonts w:ascii="Times New Roman" w:hAnsi="Times New Roman" w:cs="Times New Roman"/>
        </w:rPr>
      </w:pPr>
      <w:r>
        <w:rPr>
          <w:rFonts w:ascii="Times New Roman" w:hAnsi="Times New Roman" w:cs="Times New Roman"/>
        </w:rPr>
        <w:t xml:space="preserve">If the FCC removes any such census block from eligibility for RDOF support then the Company or Companies will file into this case file a copy of the FCC documentation removing the census block. Such a filing will cause the census block to be removed from </w:t>
      </w:r>
      <w:r>
        <w:rPr>
          <w:rFonts w:ascii="Times New Roman" w:hAnsi="Times New Roman" w:cs="Times New Roman"/>
        </w:rPr>
        <w:lastRenderedPageBreak/>
        <w:t>the indicated company’s ETC designated service area automatically and without further action by the Commission.</w:t>
      </w:r>
    </w:p>
    <w:p>
      <w:pPr>
        <w:ind w:left="1440" w:right="1440"/>
        <w:jc w:val="both"/>
        <w:rPr>
          <w:rFonts w:ascii="Times New Roman" w:hAnsi="Times New Roman" w:cs="Times New Roman"/>
        </w:rPr>
      </w:pPr>
    </w:p>
    <w:p>
      <w:pPr>
        <w:spacing w:line="480" w:lineRule="auto"/>
        <w:jc w:val="both"/>
        <w:rPr>
          <w:rFonts w:ascii="Times New Roman" w:hAnsi="Times New Roman" w:cs="Times New Roman"/>
        </w:rPr>
      </w:pPr>
      <w:r>
        <w:rPr>
          <w:rFonts w:ascii="Times New Roman" w:hAnsi="Times New Roman" w:cs="Times New Roman"/>
          <w:szCs w:val="24"/>
        </w:rPr>
        <w:t xml:space="preserve"> </w:t>
      </w:r>
      <w:r>
        <w:rPr>
          <w:rFonts w:ascii="Times New Roman" w:hAnsi="Times New Roman" w:cs="Times New Roman"/>
        </w:rPr>
        <w:t xml:space="preserve">  </w:t>
      </w:r>
      <w:r>
        <w:rPr>
          <w:rFonts w:ascii="Times New Roman" w:hAnsi="Times New Roman" w:cs="Times New Roman"/>
        </w:rPr>
        <w:tab/>
        <w:t>ETC Designation Order, at 3.</w:t>
      </w:r>
    </w:p>
    <w:p>
      <w:pPr>
        <w:spacing w:line="480" w:lineRule="auto"/>
        <w:jc w:val="both"/>
        <w:rPr>
          <w:rFonts w:ascii="Times New Roman" w:hAnsi="Times New Roman" w:cs="Times New Roman"/>
        </w:rPr>
      </w:pPr>
      <w:r>
        <w:rPr>
          <w:rFonts w:ascii="Times New Roman" w:hAnsi="Times New Roman" w:cs="Times New Roman"/>
        </w:rPr>
        <w:tab/>
        <w:t>2.</w:t>
      </w:r>
      <w:r>
        <w:rPr>
          <w:rFonts w:ascii="Times New Roman" w:hAnsi="Times New Roman" w:cs="Times New Roman"/>
        </w:rPr>
        <w:tab/>
        <w:t xml:space="preserve">Since the </w:t>
      </w:r>
      <w:proofErr w:type="spellStart"/>
      <w:r>
        <w:rPr>
          <w:rFonts w:ascii="Times New Roman" w:hAnsi="Times New Roman" w:cs="Times New Roman"/>
        </w:rPr>
        <w:t>ETC</w:t>
      </w:r>
      <w:proofErr w:type="spellEnd"/>
      <w:r>
        <w:rPr>
          <w:rFonts w:ascii="Times New Roman" w:hAnsi="Times New Roman" w:cs="Times New Roman"/>
        </w:rPr>
        <w:t xml:space="preserve"> Designation Order was entered, the Federal Communications Commission has issued public notices indicating that the Charter Entities will not receive RDOF support in certain census blocks that CCO Holdings, LLC had initially won in the RDOF auction and assigned to the Charter Entities.</w:t>
      </w:r>
      <w:r>
        <w:rPr>
          <w:rStyle w:val="FootnoteReference"/>
          <w:rFonts w:ascii="Times New Roman" w:hAnsi="Times New Roman" w:cs="Times New Roman"/>
        </w:rPr>
        <w:footnoteReference w:id="4"/>
      </w:r>
      <w:r>
        <w:rPr>
          <w:rFonts w:ascii="Times New Roman" w:hAnsi="Times New Roman" w:cs="Times New Roman"/>
        </w:rPr>
        <w:t xml:space="preserve"> These census blocks are identified for each of the Charter Entities in Excel spreadsheets in </w:t>
      </w:r>
      <w:r>
        <w:rPr>
          <w:rFonts w:ascii="Times New Roman" w:hAnsi="Times New Roman" w:cs="Times New Roman"/>
          <w:b/>
          <w:bCs/>
          <w:u w:val="single"/>
        </w:rPr>
        <w:t>Exhibit 1</w:t>
      </w:r>
      <w:r>
        <w:rPr>
          <w:rFonts w:ascii="Times New Roman" w:hAnsi="Times New Roman" w:cs="Times New Roman"/>
        </w:rPr>
        <w:t>. Because the Charter Entities will not receive RDOF support for these census blocks, and in accordance with the ETC Designation Order, the Charter Entities now hereby notify the Commission of the removal of such census blocks from the Charter Entities’ respective designated ETC service areas.</w:t>
      </w:r>
      <w:r>
        <w:t xml:space="preserve"> </w:t>
      </w:r>
      <w:r>
        <w:rPr>
          <w:rFonts w:ascii="Times New Roman" w:hAnsi="Times New Roman" w:cs="Times New Roman"/>
        </w:rPr>
        <w:t xml:space="preserve">The Charter Entities incorporate herein by reference the FCC’s July 26, 2021, Public Notice identified below in footnote 3.  </w:t>
      </w:r>
    </w:p>
    <w:p>
      <w:pPr>
        <w:spacing w:line="480" w:lineRule="auto"/>
        <w:ind w:firstLine="720"/>
        <w:jc w:val="both"/>
        <w:rPr>
          <w:rFonts w:ascii="Times New Roman" w:hAnsi="Times New Roman" w:cs="Times New Roman"/>
        </w:rPr>
      </w:pPr>
      <w:r>
        <w:rPr>
          <w:rFonts w:ascii="Times New Roman" w:hAnsi="Times New Roman" w:cs="Times New Roman"/>
        </w:rPr>
        <w:t xml:space="preserve">3.  Excel spreadsheets in </w:t>
      </w:r>
      <w:r>
        <w:rPr>
          <w:rFonts w:ascii="Times New Roman" w:hAnsi="Times New Roman" w:cs="Times New Roman"/>
          <w:b/>
          <w:bCs/>
          <w:u w:val="single"/>
        </w:rPr>
        <w:t>Exhibit 2</w:t>
      </w:r>
      <w:r>
        <w:rPr>
          <w:rFonts w:ascii="Times New Roman" w:hAnsi="Times New Roman" w:cs="Times New Roman"/>
        </w:rPr>
        <w:t xml:space="preserve"> provide revised lists of the remaining census blocks for which each respective Charter Entity should remain designated as an ETC.</w:t>
      </w:r>
    </w:p>
    <w:p>
      <w:pPr>
        <w:spacing w:line="480" w:lineRule="auto"/>
        <w:jc w:val="both"/>
        <w:rPr>
          <w:rFonts w:ascii="Times New Roman" w:hAnsi="Times New Roman" w:cs="Times New Roman"/>
        </w:rPr>
      </w:pPr>
      <w:r>
        <w:rPr>
          <w:rFonts w:ascii="Times New Roman" w:hAnsi="Times New Roman" w:cs="Times New Roman"/>
        </w:rPr>
        <w:tab/>
        <w:t xml:space="preserve">Respectfully submitted, </w:t>
      </w:r>
      <w:r>
        <w:rPr>
          <w:rFonts w:ascii="Times New Roman" w:hAnsi="Times New Roman" w:cs="Times New Roman"/>
        </w:rPr>
        <w:fldChar w:fldCharType="begin"/>
      </w:r>
      <w:r>
        <w:rPr>
          <w:rFonts w:ascii="Times New Roman" w:hAnsi="Times New Roman" w:cs="Times New Roman"/>
        </w:rPr>
        <w:instrText xml:space="preserve"> DATE \@ "MMMM d, yyyy" </w:instrText>
      </w:r>
      <w:r>
        <w:rPr>
          <w:rFonts w:ascii="Times New Roman" w:hAnsi="Times New Roman" w:cs="Times New Roman"/>
        </w:rPr>
        <w:fldChar w:fldCharType="separate"/>
      </w:r>
      <w:r>
        <w:rPr>
          <w:rFonts w:ascii="Times New Roman" w:hAnsi="Times New Roman" w:cs="Times New Roman"/>
          <w:noProof/>
        </w:rPr>
        <w:t>October 21, 2021</w:t>
      </w:r>
      <w:r>
        <w:rPr>
          <w:rFonts w:ascii="Times New Roman" w:hAnsi="Times New Roman" w:cs="Times New Roman"/>
        </w:rPr>
        <w:fldChar w:fldCharType="end"/>
      </w:r>
      <w:r>
        <w:rPr>
          <w:rFonts w:ascii="Times New Roman"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tc>
          <w:tcPr>
            <w:tcW w:w="4675" w:type="dxa"/>
          </w:tcPr>
          <w:p>
            <w:pPr>
              <w:jc w:val="both"/>
              <w:rPr>
                <w:rFonts w:ascii="Times New Roman" w:eastAsia="Calibri" w:hAnsi="Times New Roman" w:cs="Times New Roman"/>
                <w:szCs w:val="24"/>
              </w:rPr>
            </w:pPr>
          </w:p>
        </w:tc>
        <w:tc>
          <w:tcPr>
            <w:tcW w:w="4675" w:type="dxa"/>
          </w:tcPr>
          <w:p>
            <w:pPr>
              <w:jc w:val="both"/>
              <w:rPr>
                <w:rFonts w:ascii="Times New Roman" w:eastAsia="Calibri" w:hAnsi="Times New Roman" w:cs="Times New Roman"/>
                <w:szCs w:val="24"/>
              </w:rPr>
            </w:pPr>
            <w:r>
              <w:rPr>
                <w:rFonts w:ascii="Times New Roman" w:eastAsia="Calibri" w:hAnsi="Times New Roman" w:cs="Times New Roman"/>
                <w:szCs w:val="24"/>
              </w:rPr>
              <w:t>Respectfully submitted,</w:t>
            </w:r>
          </w:p>
          <w:p>
            <w:pPr>
              <w:jc w:val="both"/>
              <w:rPr>
                <w:rFonts w:ascii="Times New Roman" w:eastAsia="Calibri" w:hAnsi="Times New Roman" w:cs="Times New Roman"/>
                <w:szCs w:val="24"/>
              </w:rPr>
            </w:pPr>
          </w:p>
          <w:p>
            <w:pPr>
              <w:rPr>
                <w:rFonts w:ascii="Times New Roman" w:eastAsia="Calibri" w:hAnsi="Times New Roman" w:cs="Times New Roman"/>
                <w:szCs w:val="24"/>
              </w:rPr>
            </w:pPr>
            <w:r>
              <w:rPr>
                <w:rFonts w:ascii="Times New Roman" w:eastAsia="Calibri" w:hAnsi="Times New Roman" w:cs="Times New Roman"/>
                <w:szCs w:val="24"/>
              </w:rPr>
              <w:t xml:space="preserve">Charter </w:t>
            </w:r>
            <w:proofErr w:type="spellStart"/>
            <w:r>
              <w:rPr>
                <w:rFonts w:ascii="Times New Roman" w:eastAsia="Calibri" w:hAnsi="Times New Roman" w:cs="Times New Roman"/>
                <w:szCs w:val="24"/>
              </w:rPr>
              <w:t>Fiberlink</w:t>
            </w:r>
            <w:proofErr w:type="spellEnd"/>
            <w:r>
              <w:rPr>
                <w:rFonts w:ascii="Times New Roman" w:eastAsia="Calibri" w:hAnsi="Times New Roman" w:cs="Times New Roman"/>
                <w:szCs w:val="24"/>
              </w:rPr>
              <w:t xml:space="preserve"> - Missouri, LLC and Time Warner Cable Information Services (Missouri), LLC</w:t>
            </w:r>
          </w:p>
          <w:p>
            <w:pPr>
              <w:spacing w:before="720"/>
              <w:jc w:val="both"/>
              <w:rPr>
                <w:rFonts w:ascii="Times New Roman" w:eastAsia="Calibri" w:hAnsi="Times New Roman" w:cs="Times New Roman"/>
                <w:szCs w:val="24"/>
              </w:rPr>
            </w:pPr>
            <w:r>
              <w:rPr>
                <w:rFonts w:ascii="Times New Roman" w:eastAsia="Calibri" w:hAnsi="Times New Roman" w:cs="Times New Roman"/>
                <w:szCs w:val="24"/>
              </w:rPr>
              <w:lastRenderedPageBreak/>
              <w:t>By:</w:t>
            </w:r>
            <w:r>
              <w:rPr>
                <w:rFonts w:ascii="Times New Roman" w:eastAsia="Calibri" w:hAnsi="Times New Roman" w:cs="Times New Roman"/>
                <w:szCs w:val="24"/>
              </w:rPr>
              <w:tab/>
            </w:r>
            <w:r>
              <w:rPr>
                <w:rFonts w:ascii="Times New Roman" w:eastAsia="Calibri" w:hAnsi="Times New Roman" w:cs="Times New Roman"/>
                <w:szCs w:val="24"/>
                <w:u w:val="single"/>
              </w:rPr>
              <w:t>__/s/ Mark P. Johnson</w:t>
            </w:r>
            <w:r>
              <w:rPr>
                <w:rFonts w:ascii="Times New Roman" w:eastAsia="Calibri" w:hAnsi="Times New Roman" w:cs="Times New Roman"/>
                <w:szCs w:val="24"/>
              </w:rPr>
              <w:t>________</w:t>
            </w:r>
          </w:p>
        </w:tc>
      </w:tr>
      <w:tr>
        <w:tc>
          <w:tcPr>
            <w:tcW w:w="4675" w:type="dxa"/>
          </w:tcPr>
          <w:p>
            <w:pPr>
              <w:jc w:val="both"/>
              <w:rPr>
                <w:rFonts w:ascii="Times New Roman" w:eastAsia="Calibri" w:hAnsi="Times New Roman" w:cs="Times New Roman"/>
                <w:szCs w:val="24"/>
              </w:rPr>
            </w:pPr>
            <w:r>
              <w:rPr>
                <w:rFonts w:ascii="Times New Roman" w:eastAsia="Calibri" w:hAnsi="Times New Roman" w:cs="Times New Roman"/>
                <w:szCs w:val="24"/>
              </w:rPr>
              <w:lastRenderedPageBreak/>
              <w:t>Michael R. Moore</w:t>
            </w:r>
          </w:p>
          <w:p>
            <w:pPr>
              <w:jc w:val="both"/>
              <w:rPr>
                <w:rFonts w:ascii="Times New Roman" w:eastAsia="Calibri" w:hAnsi="Times New Roman" w:cs="Times New Roman"/>
                <w:szCs w:val="24"/>
              </w:rPr>
            </w:pPr>
            <w:r>
              <w:rPr>
                <w:rFonts w:ascii="Times New Roman" w:eastAsia="Calibri" w:hAnsi="Times New Roman" w:cs="Times New Roman"/>
                <w:szCs w:val="24"/>
              </w:rPr>
              <w:t>Group VP Law – Telephone Regulatory</w:t>
            </w:r>
          </w:p>
          <w:p>
            <w:pPr>
              <w:jc w:val="both"/>
              <w:rPr>
                <w:rFonts w:ascii="Times New Roman" w:eastAsia="Calibri" w:hAnsi="Times New Roman" w:cs="Times New Roman"/>
                <w:szCs w:val="24"/>
              </w:rPr>
            </w:pPr>
            <w:r>
              <w:rPr>
                <w:rFonts w:ascii="Times New Roman" w:eastAsia="Calibri" w:hAnsi="Times New Roman" w:cs="Times New Roman"/>
                <w:szCs w:val="24"/>
              </w:rPr>
              <w:t>Charter Communications, Inc.</w:t>
            </w:r>
          </w:p>
          <w:p>
            <w:pPr>
              <w:jc w:val="both"/>
              <w:rPr>
                <w:rFonts w:ascii="Times New Roman" w:eastAsia="Calibri" w:hAnsi="Times New Roman" w:cs="Times New Roman"/>
                <w:szCs w:val="24"/>
              </w:rPr>
            </w:pPr>
            <w:r>
              <w:rPr>
                <w:rFonts w:ascii="Times New Roman" w:eastAsia="Calibri" w:hAnsi="Times New Roman" w:cs="Times New Roman"/>
                <w:szCs w:val="24"/>
              </w:rPr>
              <w:t>12405 Powerscourt Drive</w:t>
            </w:r>
          </w:p>
          <w:p>
            <w:pPr>
              <w:jc w:val="both"/>
              <w:rPr>
                <w:rFonts w:ascii="Times New Roman" w:eastAsia="Calibri" w:hAnsi="Times New Roman" w:cs="Times New Roman"/>
                <w:szCs w:val="24"/>
              </w:rPr>
            </w:pPr>
            <w:r>
              <w:rPr>
                <w:rFonts w:ascii="Times New Roman" w:eastAsia="Calibri" w:hAnsi="Times New Roman" w:cs="Times New Roman"/>
                <w:szCs w:val="24"/>
              </w:rPr>
              <w:t>St. Louis, Missouri 63131</w:t>
            </w:r>
          </w:p>
          <w:p>
            <w:pPr>
              <w:jc w:val="both"/>
              <w:rPr>
                <w:rFonts w:ascii="Times New Roman" w:eastAsia="Calibri" w:hAnsi="Times New Roman" w:cs="Times New Roman"/>
                <w:szCs w:val="24"/>
              </w:rPr>
            </w:pPr>
            <w:r>
              <w:rPr>
                <w:rFonts w:ascii="Times New Roman" w:eastAsia="Calibri" w:hAnsi="Times New Roman" w:cs="Times New Roman"/>
                <w:szCs w:val="24"/>
              </w:rPr>
              <w:t>Tel: (314) 394-9007</w:t>
            </w:r>
          </w:p>
          <w:p>
            <w:pPr>
              <w:jc w:val="both"/>
              <w:rPr>
                <w:rFonts w:ascii="Times New Roman" w:eastAsia="Calibri" w:hAnsi="Times New Roman" w:cs="Times New Roman"/>
                <w:szCs w:val="24"/>
              </w:rPr>
            </w:pPr>
            <w:r>
              <w:rPr>
                <w:rFonts w:ascii="Times New Roman" w:eastAsia="Calibri" w:hAnsi="Times New Roman" w:cs="Times New Roman"/>
                <w:szCs w:val="24"/>
              </w:rPr>
              <w:t xml:space="preserve">Email: </w:t>
            </w:r>
            <w:r>
              <w:rPr>
                <w:rFonts w:ascii="Times New Roman" w:eastAsia="Calibri" w:hAnsi="Times New Roman" w:cs="Times New Roman"/>
                <w:i/>
                <w:iCs/>
                <w:szCs w:val="24"/>
              </w:rPr>
              <w:t>Michael.Moore@charter.com</w:t>
            </w:r>
          </w:p>
        </w:tc>
        <w:tc>
          <w:tcPr>
            <w:tcW w:w="4675" w:type="dxa"/>
          </w:tcPr>
          <w:p>
            <w:pPr>
              <w:jc w:val="both"/>
              <w:rPr>
                <w:rFonts w:ascii="Times New Roman" w:eastAsia="Calibri" w:hAnsi="Times New Roman" w:cs="Times New Roman"/>
                <w:szCs w:val="24"/>
              </w:rPr>
            </w:pPr>
            <w:r>
              <w:rPr>
                <w:rFonts w:ascii="Times New Roman" w:eastAsia="Calibri" w:hAnsi="Times New Roman" w:cs="Times New Roman"/>
                <w:szCs w:val="24"/>
              </w:rPr>
              <w:t>Mark P. Johnson MO Bar #30740</w:t>
            </w:r>
          </w:p>
          <w:p>
            <w:pPr>
              <w:jc w:val="both"/>
              <w:rPr>
                <w:rFonts w:ascii="Times New Roman" w:eastAsia="Calibri" w:hAnsi="Times New Roman" w:cs="Times New Roman"/>
                <w:szCs w:val="24"/>
              </w:rPr>
            </w:pPr>
            <w:r>
              <w:rPr>
                <w:rFonts w:ascii="Times New Roman" w:eastAsia="Calibri" w:hAnsi="Times New Roman" w:cs="Times New Roman"/>
                <w:szCs w:val="24"/>
              </w:rPr>
              <w:t>Dentons US, LLP</w:t>
            </w:r>
          </w:p>
          <w:p>
            <w:pPr>
              <w:jc w:val="both"/>
              <w:rPr>
                <w:rFonts w:ascii="Times New Roman" w:eastAsia="Calibri" w:hAnsi="Times New Roman" w:cs="Times New Roman"/>
                <w:szCs w:val="24"/>
              </w:rPr>
            </w:pPr>
            <w:r>
              <w:rPr>
                <w:rFonts w:ascii="Times New Roman" w:eastAsia="Calibri" w:hAnsi="Times New Roman" w:cs="Times New Roman"/>
                <w:szCs w:val="24"/>
              </w:rPr>
              <w:t>4520 Main Street, Suite 1100</w:t>
            </w:r>
          </w:p>
          <w:p>
            <w:pPr>
              <w:jc w:val="both"/>
              <w:rPr>
                <w:rFonts w:ascii="Times New Roman" w:eastAsia="Calibri" w:hAnsi="Times New Roman" w:cs="Times New Roman"/>
                <w:szCs w:val="24"/>
              </w:rPr>
            </w:pPr>
            <w:r>
              <w:rPr>
                <w:rFonts w:ascii="Times New Roman" w:eastAsia="Calibri" w:hAnsi="Times New Roman" w:cs="Times New Roman"/>
                <w:szCs w:val="24"/>
              </w:rPr>
              <w:t>Kansas City, Missouri 64111</w:t>
            </w:r>
          </w:p>
          <w:p>
            <w:pPr>
              <w:jc w:val="both"/>
              <w:rPr>
                <w:rFonts w:ascii="Times New Roman" w:eastAsia="Calibri" w:hAnsi="Times New Roman" w:cs="Times New Roman"/>
                <w:szCs w:val="24"/>
              </w:rPr>
            </w:pPr>
            <w:r>
              <w:rPr>
                <w:rFonts w:ascii="Times New Roman" w:eastAsia="Calibri" w:hAnsi="Times New Roman" w:cs="Times New Roman"/>
                <w:szCs w:val="24"/>
              </w:rPr>
              <w:t>Tel: (816) 460-2424</w:t>
            </w:r>
          </w:p>
          <w:p>
            <w:pPr>
              <w:jc w:val="both"/>
              <w:rPr>
                <w:rFonts w:ascii="Times New Roman" w:eastAsia="Calibri" w:hAnsi="Times New Roman" w:cs="Times New Roman"/>
                <w:szCs w:val="24"/>
              </w:rPr>
            </w:pPr>
            <w:r>
              <w:rPr>
                <w:rFonts w:ascii="Times New Roman" w:eastAsia="Calibri" w:hAnsi="Times New Roman" w:cs="Times New Roman"/>
                <w:szCs w:val="24"/>
              </w:rPr>
              <w:t>Fax: (816) 531-7545</w:t>
            </w:r>
          </w:p>
          <w:p>
            <w:pPr>
              <w:jc w:val="both"/>
              <w:rPr>
                <w:rFonts w:ascii="Times New Roman" w:eastAsia="Calibri" w:hAnsi="Times New Roman" w:cs="Times New Roman"/>
                <w:szCs w:val="24"/>
              </w:rPr>
            </w:pPr>
            <w:r>
              <w:rPr>
                <w:rFonts w:ascii="Times New Roman" w:eastAsia="Calibri" w:hAnsi="Times New Roman" w:cs="Times New Roman"/>
                <w:szCs w:val="24"/>
              </w:rPr>
              <w:t xml:space="preserve">Email: </w:t>
            </w:r>
            <w:r>
              <w:rPr>
                <w:rFonts w:ascii="Times New Roman" w:eastAsia="Calibri" w:hAnsi="Times New Roman" w:cs="Times New Roman"/>
                <w:i/>
                <w:iCs/>
                <w:szCs w:val="24"/>
              </w:rPr>
              <w:t>Mark.Johnson@dentons.com</w:t>
            </w:r>
          </w:p>
          <w:p>
            <w:pPr>
              <w:jc w:val="both"/>
              <w:rPr>
                <w:rFonts w:ascii="Times New Roman" w:eastAsia="Calibri" w:hAnsi="Times New Roman" w:cs="Times New Roman"/>
                <w:szCs w:val="24"/>
              </w:rPr>
            </w:pPr>
            <w:r>
              <w:rPr>
                <w:rFonts w:ascii="Times New Roman" w:eastAsia="Calibri" w:hAnsi="Times New Roman" w:cs="Times New Roman"/>
                <w:szCs w:val="24"/>
              </w:rPr>
              <w:t xml:space="preserve"> </w:t>
            </w:r>
          </w:p>
          <w:p>
            <w:pPr>
              <w:keepNext/>
              <w:keepLines/>
              <w:jc w:val="both"/>
              <w:rPr>
                <w:rFonts w:ascii="Times New Roman" w:eastAsia="Calibri" w:hAnsi="Times New Roman" w:cs="Times New Roman"/>
                <w:szCs w:val="24"/>
              </w:rPr>
            </w:pPr>
          </w:p>
        </w:tc>
      </w:tr>
      <w:tr>
        <w:tc>
          <w:tcPr>
            <w:tcW w:w="4675" w:type="dxa"/>
          </w:tcPr>
          <w:p>
            <w:pPr>
              <w:jc w:val="both"/>
              <w:rPr>
                <w:rFonts w:ascii="Times New Roman" w:eastAsia="Calibri" w:hAnsi="Times New Roman" w:cs="Times New Roman"/>
                <w:szCs w:val="24"/>
              </w:rPr>
            </w:pPr>
          </w:p>
        </w:tc>
        <w:tc>
          <w:tcPr>
            <w:tcW w:w="4675" w:type="dxa"/>
          </w:tcPr>
          <w:p>
            <w:pPr>
              <w:jc w:val="both"/>
              <w:rPr>
                <w:rFonts w:ascii="Times New Roman" w:eastAsia="Calibri" w:hAnsi="Times New Roman" w:cs="Times New Roman"/>
                <w:szCs w:val="24"/>
              </w:rPr>
            </w:pPr>
            <w:r>
              <w:rPr>
                <w:rFonts w:ascii="Times New Roman" w:eastAsia="Calibri" w:hAnsi="Times New Roman" w:cs="Times New Roman"/>
                <w:szCs w:val="24"/>
              </w:rPr>
              <w:t>Charles A. Hudak</w:t>
            </w:r>
          </w:p>
          <w:p>
            <w:pPr>
              <w:jc w:val="both"/>
              <w:rPr>
                <w:rFonts w:ascii="Times New Roman" w:eastAsia="Calibri" w:hAnsi="Times New Roman" w:cs="Times New Roman"/>
                <w:szCs w:val="24"/>
              </w:rPr>
            </w:pPr>
            <w:r>
              <w:rPr>
                <w:rFonts w:ascii="Times New Roman" w:eastAsia="Calibri" w:hAnsi="Times New Roman" w:cs="Times New Roman"/>
                <w:szCs w:val="24"/>
              </w:rPr>
              <w:t>Benjamin M. Byrd</w:t>
            </w:r>
          </w:p>
          <w:p>
            <w:pPr>
              <w:jc w:val="both"/>
              <w:rPr>
                <w:rFonts w:ascii="Times New Roman" w:eastAsia="Calibri" w:hAnsi="Times New Roman" w:cs="Times New Roman"/>
                <w:szCs w:val="24"/>
              </w:rPr>
            </w:pPr>
            <w:r>
              <w:rPr>
                <w:rFonts w:ascii="Times New Roman" w:eastAsia="Calibri" w:hAnsi="Times New Roman" w:cs="Times New Roman"/>
                <w:szCs w:val="24"/>
              </w:rPr>
              <w:t>Friend, Hudak &amp; Harris, LLP</w:t>
            </w:r>
          </w:p>
          <w:p>
            <w:pPr>
              <w:jc w:val="both"/>
              <w:rPr>
                <w:rFonts w:ascii="Times New Roman" w:eastAsia="Calibri" w:hAnsi="Times New Roman" w:cs="Times New Roman"/>
                <w:szCs w:val="24"/>
              </w:rPr>
            </w:pPr>
            <w:r>
              <w:rPr>
                <w:rFonts w:ascii="Times New Roman" w:eastAsia="Calibri" w:hAnsi="Times New Roman" w:cs="Times New Roman"/>
                <w:szCs w:val="24"/>
              </w:rPr>
              <w:t>3 Ravinia Drive, Suite 1700</w:t>
            </w:r>
          </w:p>
          <w:p>
            <w:pPr>
              <w:jc w:val="both"/>
              <w:rPr>
                <w:rFonts w:ascii="Times New Roman" w:eastAsia="Calibri" w:hAnsi="Times New Roman" w:cs="Times New Roman"/>
                <w:szCs w:val="24"/>
              </w:rPr>
            </w:pPr>
            <w:r>
              <w:rPr>
                <w:rFonts w:ascii="Times New Roman" w:eastAsia="Calibri" w:hAnsi="Times New Roman" w:cs="Times New Roman"/>
                <w:szCs w:val="24"/>
              </w:rPr>
              <w:t>Atlanta, Georgia 30346</w:t>
            </w:r>
          </w:p>
          <w:p>
            <w:pPr>
              <w:jc w:val="both"/>
              <w:rPr>
                <w:rFonts w:ascii="Times New Roman" w:eastAsia="Calibri" w:hAnsi="Times New Roman" w:cs="Times New Roman"/>
                <w:szCs w:val="24"/>
              </w:rPr>
            </w:pPr>
            <w:r>
              <w:rPr>
                <w:rFonts w:ascii="Times New Roman" w:eastAsia="Calibri" w:hAnsi="Times New Roman" w:cs="Times New Roman"/>
                <w:szCs w:val="24"/>
              </w:rPr>
              <w:t>Tel: (770) 399-9500</w:t>
            </w:r>
          </w:p>
          <w:p>
            <w:pPr>
              <w:jc w:val="both"/>
              <w:rPr>
                <w:rFonts w:ascii="Times New Roman" w:eastAsia="Calibri" w:hAnsi="Times New Roman" w:cs="Times New Roman"/>
                <w:color w:val="0563C1"/>
                <w:szCs w:val="24"/>
                <w:u w:val="single"/>
              </w:rPr>
            </w:pPr>
            <w:r>
              <w:rPr>
                <w:rFonts w:ascii="Times New Roman" w:eastAsia="Calibri" w:hAnsi="Times New Roman" w:cs="Times New Roman"/>
                <w:szCs w:val="24"/>
              </w:rPr>
              <w:t xml:space="preserve">Email: </w:t>
            </w:r>
            <w:r>
              <w:rPr>
                <w:rFonts w:ascii="Times New Roman" w:eastAsia="Calibri" w:hAnsi="Times New Roman" w:cs="Times New Roman"/>
                <w:i/>
                <w:iCs/>
                <w:szCs w:val="24"/>
              </w:rPr>
              <w:t>chudak@fh2.com</w:t>
            </w:r>
          </w:p>
          <w:p>
            <w:pPr>
              <w:jc w:val="both"/>
              <w:rPr>
                <w:rFonts w:ascii="Times New Roman" w:eastAsia="Calibri" w:hAnsi="Times New Roman" w:cs="Times New Roman"/>
                <w:szCs w:val="24"/>
              </w:rPr>
            </w:pPr>
            <w:r>
              <w:rPr>
                <w:rFonts w:ascii="Times New Roman" w:eastAsia="Calibri" w:hAnsi="Times New Roman" w:cs="Times New Roman"/>
                <w:szCs w:val="24"/>
              </w:rPr>
              <w:t xml:space="preserve">Email: </w:t>
            </w:r>
            <w:r>
              <w:rPr>
                <w:rFonts w:ascii="Times New Roman" w:eastAsia="Calibri" w:hAnsi="Times New Roman" w:cs="Times New Roman"/>
                <w:i/>
                <w:iCs/>
                <w:szCs w:val="24"/>
              </w:rPr>
              <w:t>bbyrd@fh2.com</w:t>
            </w:r>
          </w:p>
        </w:tc>
      </w:tr>
    </w:tbl>
    <w:p>
      <w:pPr>
        <w:spacing w:before="76" w:line="271" w:lineRule="exact"/>
        <w:ind w:left="3663" w:right="3261"/>
        <w:jc w:val="center"/>
        <w:rPr>
          <w:rFonts w:ascii="Times New Roman" w:hAnsi="Times New Roman"/>
          <w:b/>
          <w:position w:val="-1"/>
          <w:u w:val="single"/>
        </w:rPr>
      </w:pPr>
    </w:p>
    <w:p>
      <w:pPr>
        <w:spacing w:after="160" w:line="259" w:lineRule="auto"/>
        <w:rPr>
          <w:rFonts w:ascii="Times New Roman" w:hAnsi="Times New Roman"/>
          <w:b/>
          <w:position w:val="-1"/>
          <w:u w:val="single"/>
        </w:rPr>
      </w:pPr>
      <w:r>
        <w:rPr>
          <w:rFonts w:ascii="Times New Roman" w:hAnsi="Times New Roman"/>
          <w:b/>
          <w:position w:val="-1"/>
          <w:u w:val="single"/>
        </w:rPr>
        <w:br w:type="page"/>
      </w:r>
    </w:p>
    <w:p>
      <w:pPr>
        <w:spacing w:before="76" w:line="271" w:lineRule="exact"/>
        <w:ind w:left="3663" w:right="3261"/>
        <w:jc w:val="center"/>
        <w:rPr>
          <w:rFonts w:ascii="Times New Roman" w:hAnsi="Times New Roman"/>
          <w:u w:val="single"/>
        </w:rPr>
      </w:pPr>
      <w:r>
        <w:rPr>
          <w:rFonts w:ascii="Times New Roman" w:hAnsi="Times New Roman"/>
          <w:b/>
          <w:position w:val="-1"/>
          <w:u w:val="single"/>
        </w:rPr>
        <w:lastRenderedPageBreak/>
        <w:t>EXHIBIT 1</w:t>
      </w:r>
    </w:p>
    <w:p>
      <w:pPr>
        <w:spacing w:line="200" w:lineRule="exact"/>
        <w:rPr>
          <w:rFonts w:ascii="Times New Roman" w:hAnsi="Times New Roman" w:cs="Times New Roman"/>
          <w:szCs w:val="24"/>
        </w:rPr>
      </w:pPr>
    </w:p>
    <w:p>
      <w:pPr>
        <w:spacing w:line="200" w:lineRule="exact"/>
        <w:rPr>
          <w:rFonts w:ascii="Times New Roman" w:hAnsi="Times New Roman" w:cs="Times New Roman"/>
          <w:szCs w:val="24"/>
        </w:rPr>
      </w:pPr>
    </w:p>
    <w:p>
      <w:pPr>
        <w:jc w:val="both"/>
        <w:rPr>
          <w:rFonts w:ascii="Times New Roman" w:hAnsi="Times New Roman" w:cs="Times New Roman"/>
        </w:rPr>
      </w:pPr>
      <w:r>
        <w:rPr>
          <w:rFonts w:ascii="Times New Roman" w:eastAsia="Times New Roman" w:hAnsi="Times New Roman" w:cs="Times New Roman"/>
          <w:b/>
          <w:szCs w:val="24"/>
        </w:rPr>
        <w:t>E</w:t>
      </w:r>
      <w:r>
        <w:rPr>
          <w:rFonts w:ascii="Times New Roman" w:eastAsia="Times New Roman" w:hAnsi="Times New Roman" w:cs="Times New Roman"/>
          <w:b/>
          <w:spacing w:val="2"/>
          <w:szCs w:val="24"/>
        </w:rPr>
        <w:t>x</w:t>
      </w:r>
      <w:r>
        <w:rPr>
          <w:rFonts w:ascii="Times New Roman" w:eastAsia="Times New Roman" w:hAnsi="Times New Roman" w:cs="Times New Roman"/>
          <w:b/>
          <w:szCs w:val="24"/>
        </w:rPr>
        <w:t>hib</w:t>
      </w:r>
      <w:r>
        <w:rPr>
          <w:rFonts w:ascii="Times New Roman" w:eastAsia="Times New Roman" w:hAnsi="Times New Roman" w:cs="Times New Roman"/>
          <w:b/>
          <w:spacing w:val="-1"/>
          <w:szCs w:val="24"/>
        </w:rPr>
        <w:t>i</w:t>
      </w:r>
      <w:r>
        <w:rPr>
          <w:rFonts w:ascii="Times New Roman" w:eastAsia="Times New Roman" w:hAnsi="Times New Roman" w:cs="Times New Roman"/>
          <w:b/>
          <w:szCs w:val="24"/>
        </w:rPr>
        <w:t>t 1</w:t>
      </w:r>
      <w:r>
        <w:rPr>
          <w:rFonts w:ascii="Times New Roman" w:eastAsia="Times New Roman" w:hAnsi="Times New Roman" w:cs="Times New Roman"/>
          <w:szCs w:val="24"/>
        </w:rPr>
        <w:t xml:space="preserve"> – </w:t>
      </w:r>
      <w:r>
        <w:rPr>
          <w:rFonts w:ascii="Times New Roman" w:hAnsi="Times New Roman" w:cs="Times New Roman"/>
          <w:szCs w:val="24"/>
        </w:rPr>
        <w:t xml:space="preserve">Lists of Census Blocks Where </w:t>
      </w:r>
      <w:r>
        <w:rPr>
          <w:rFonts w:ascii="Times New Roman" w:hAnsi="Times New Roman" w:cs="Times New Roman"/>
        </w:rPr>
        <w:t xml:space="preserve">Charter </w:t>
      </w:r>
      <w:proofErr w:type="spellStart"/>
      <w:r>
        <w:rPr>
          <w:rFonts w:ascii="Times New Roman" w:hAnsi="Times New Roman" w:cs="Times New Roman"/>
        </w:rPr>
        <w:t>Fiberlink</w:t>
      </w:r>
      <w:proofErr w:type="spellEnd"/>
      <w:r>
        <w:rPr>
          <w:rFonts w:ascii="Times New Roman" w:hAnsi="Times New Roman" w:cs="Times New Roman"/>
        </w:rPr>
        <w:t xml:space="preserve"> - Missouri, LLC and Time Warner Cable Information Services (Missouri), LLC are No Longer Receiving </w:t>
      </w:r>
      <w:proofErr w:type="spellStart"/>
      <w:r>
        <w:rPr>
          <w:rFonts w:ascii="Times New Roman" w:hAnsi="Times New Roman" w:cs="Times New Roman"/>
        </w:rPr>
        <w:t>RDOF</w:t>
      </w:r>
      <w:proofErr w:type="spellEnd"/>
      <w:r>
        <w:rPr>
          <w:rFonts w:ascii="Times New Roman" w:hAnsi="Times New Roman" w:cs="Times New Roman"/>
        </w:rPr>
        <w:t xml:space="preserve"> Auction Support</w:t>
      </w: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pPr>
      <w:r>
        <w:object w:dxaOrig="1708" w:dyaOrig="11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85.5pt;height:55pt" o:ole="">
            <v:imagedata r:id="rId8" o:title=""/>
          </v:shape>
          <o:OLEObject Type="Embed" ProgID="Excel.Sheet.12" ShapeID="_x0000_i1030" DrawAspect="Icon" ObjectID="_1696351375" r:id="rId9"/>
        </w:object>
      </w:r>
    </w:p>
    <w:p>
      <w:pPr>
        <w:jc w:val="both"/>
      </w:pPr>
    </w:p>
    <w:p>
      <w:pPr>
        <w:jc w:val="both"/>
      </w:pPr>
    </w:p>
    <w:p>
      <w:pPr>
        <w:jc w:val="both"/>
      </w:pPr>
    </w:p>
    <w:p>
      <w:pPr>
        <w:jc w:val="both"/>
        <w:rPr>
          <w:rFonts w:ascii="Times New Roman" w:hAnsi="Times New Roman" w:cs="Times New Roman"/>
        </w:rPr>
      </w:pPr>
      <w:r>
        <w:object w:dxaOrig="1708" w:dyaOrig="1105">
          <v:shape id="_x0000_i1032" type="#_x0000_t75" style="width:85.5pt;height:55pt" o:ole="">
            <v:imagedata r:id="rId10" o:title=""/>
          </v:shape>
          <o:OLEObject Type="Embed" ProgID="Excel.Sheet.12" ShapeID="_x0000_i1032" DrawAspect="Icon" ObjectID="_1696351376" r:id="rId11"/>
        </w:object>
      </w:r>
    </w:p>
    <w:p>
      <w:pPr>
        <w:spacing w:after="160" w:line="259" w:lineRule="auto"/>
        <w:rPr>
          <w:rFonts w:ascii="Times New Roman" w:hAnsi="Times New Roman" w:cs="Times New Roman"/>
        </w:rPr>
      </w:pPr>
      <w:r>
        <w:rPr>
          <w:rFonts w:ascii="Times New Roman" w:hAnsi="Times New Roman" w:cs="Times New Roman"/>
        </w:rPr>
        <w:br w:type="page"/>
      </w:r>
    </w:p>
    <w:p>
      <w:pPr>
        <w:spacing w:before="76" w:line="271" w:lineRule="exact"/>
        <w:jc w:val="center"/>
        <w:rPr>
          <w:rFonts w:ascii="Times New Roman" w:hAnsi="Times New Roman"/>
          <w:u w:val="single"/>
        </w:rPr>
      </w:pPr>
      <w:r>
        <w:rPr>
          <w:rFonts w:ascii="Times New Roman" w:hAnsi="Times New Roman"/>
          <w:b/>
          <w:position w:val="-1"/>
          <w:u w:val="single"/>
        </w:rPr>
        <w:lastRenderedPageBreak/>
        <w:t>EXHI</w:t>
      </w:r>
      <w:r>
        <w:rPr>
          <w:rFonts w:ascii="Times New Roman" w:hAnsi="Times New Roman"/>
          <w:b/>
          <w:spacing w:val="1"/>
          <w:position w:val="-1"/>
          <w:u w:val="single"/>
        </w:rPr>
        <w:t>B</w:t>
      </w:r>
      <w:r>
        <w:rPr>
          <w:rFonts w:ascii="Times New Roman" w:hAnsi="Times New Roman"/>
          <w:b/>
          <w:position w:val="-1"/>
          <w:u w:val="single"/>
        </w:rPr>
        <w:t>I</w:t>
      </w:r>
      <w:r>
        <w:rPr>
          <w:rFonts w:ascii="Times New Roman" w:hAnsi="Times New Roman"/>
          <w:b/>
          <w:spacing w:val="-1"/>
          <w:position w:val="-1"/>
          <w:u w:val="single"/>
        </w:rPr>
        <w:t>T 2</w:t>
      </w:r>
    </w:p>
    <w:p>
      <w:pPr>
        <w:spacing w:line="200" w:lineRule="exact"/>
        <w:rPr>
          <w:rFonts w:ascii="Times New Roman" w:hAnsi="Times New Roman" w:cs="Times New Roman"/>
          <w:szCs w:val="24"/>
        </w:rPr>
      </w:pPr>
    </w:p>
    <w:p>
      <w:pPr>
        <w:spacing w:line="200" w:lineRule="exact"/>
        <w:rPr>
          <w:rFonts w:ascii="Times New Roman" w:hAnsi="Times New Roman" w:cs="Times New Roman"/>
          <w:szCs w:val="24"/>
        </w:rPr>
      </w:pPr>
    </w:p>
    <w:p>
      <w:pPr>
        <w:rPr>
          <w:rFonts w:ascii="Times New Roman" w:hAnsi="Times New Roman" w:cs="Times New Roman"/>
          <w:szCs w:val="24"/>
        </w:rPr>
      </w:pPr>
      <w:r>
        <w:rPr>
          <w:rFonts w:ascii="Times New Roman" w:eastAsia="Times New Roman" w:hAnsi="Times New Roman" w:cs="Times New Roman"/>
          <w:b/>
          <w:szCs w:val="24"/>
        </w:rPr>
        <w:t>E</w:t>
      </w:r>
      <w:r>
        <w:rPr>
          <w:rFonts w:ascii="Times New Roman" w:eastAsia="Times New Roman" w:hAnsi="Times New Roman" w:cs="Times New Roman"/>
          <w:b/>
          <w:spacing w:val="2"/>
          <w:szCs w:val="24"/>
        </w:rPr>
        <w:t>x</w:t>
      </w:r>
      <w:r>
        <w:rPr>
          <w:rFonts w:ascii="Times New Roman" w:eastAsia="Times New Roman" w:hAnsi="Times New Roman" w:cs="Times New Roman"/>
          <w:b/>
          <w:szCs w:val="24"/>
        </w:rPr>
        <w:t>hib</w:t>
      </w:r>
      <w:r>
        <w:rPr>
          <w:rFonts w:ascii="Times New Roman" w:eastAsia="Times New Roman" w:hAnsi="Times New Roman" w:cs="Times New Roman"/>
          <w:b/>
          <w:spacing w:val="-1"/>
          <w:szCs w:val="24"/>
        </w:rPr>
        <w:t>i</w:t>
      </w:r>
      <w:r>
        <w:rPr>
          <w:rFonts w:ascii="Times New Roman" w:eastAsia="Times New Roman" w:hAnsi="Times New Roman" w:cs="Times New Roman"/>
          <w:b/>
          <w:szCs w:val="24"/>
        </w:rPr>
        <w:t>t 2</w:t>
      </w:r>
      <w:r>
        <w:rPr>
          <w:rFonts w:ascii="Times New Roman" w:eastAsia="Times New Roman" w:hAnsi="Times New Roman" w:cs="Times New Roman"/>
          <w:szCs w:val="24"/>
        </w:rPr>
        <w:t xml:space="preserve"> – </w:t>
      </w:r>
      <w:r>
        <w:rPr>
          <w:rFonts w:ascii="Times New Roman" w:hAnsi="Times New Roman" w:cs="Times New Roman"/>
          <w:szCs w:val="24"/>
        </w:rPr>
        <w:t xml:space="preserve">Lists of Census Blocks forming </w:t>
      </w:r>
      <w:r>
        <w:rPr>
          <w:rFonts w:ascii="Times New Roman" w:hAnsi="Times New Roman" w:cs="Times New Roman"/>
        </w:rPr>
        <w:t xml:space="preserve">Charter </w:t>
      </w:r>
      <w:proofErr w:type="spellStart"/>
      <w:r>
        <w:rPr>
          <w:rFonts w:ascii="Times New Roman" w:hAnsi="Times New Roman" w:cs="Times New Roman"/>
        </w:rPr>
        <w:t>Fiberlink</w:t>
      </w:r>
      <w:proofErr w:type="spellEnd"/>
      <w:r>
        <w:rPr>
          <w:rFonts w:ascii="Times New Roman" w:hAnsi="Times New Roman" w:cs="Times New Roman"/>
        </w:rPr>
        <w:t xml:space="preserve"> - Missouri, LLC and Time Warner Cable Information Services (Missouri), LLC’s</w:t>
      </w:r>
      <w:r>
        <w:rPr>
          <w:rFonts w:ascii="Times New Roman" w:hAnsi="Times New Roman" w:cs="Times New Roman"/>
          <w:szCs w:val="24"/>
        </w:rPr>
        <w:t xml:space="preserve"> </w:t>
      </w:r>
      <w:proofErr w:type="spellStart"/>
      <w:r>
        <w:rPr>
          <w:rFonts w:ascii="Times New Roman" w:hAnsi="Times New Roman" w:cs="Times New Roman"/>
          <w:szCs w:val="24"/>
        </w:rPr>
        <w:t>ETC</w:t>
      </w:r>
      <w:proofErr w:type="spellEnd"/>
      <w:r>
        <w:rPr>
          <w:rFonts w:ascii="Times New Roman" w:hAnsi="Times New Roman" w:cs="Times New Roman"/>
          <w:szCs w:val="24"/>
        </w:rPr>
        <w:t xml:space="preserve"> Designated Service Areas</w:t>
      </w:r>
    </w:p>
    <w:p>
      <w:pPr>
        <w:rPr>
          <w:rFonts w:ascii="Times New Roman" w:hAnsi="Times New Roman" w:cs="Times New Roman"/>
          <w:szCs w:val="24"/>
        </w:rPr>
      </w:pPr>
    </w:p>
    <w:p>
      <w:pPr>
        <w:rPr>
          <w:rFonts w:ascii="Times New Roman" w:hAnsi="Times New Roman" w:cs="Times New Roman"/>
          <w:szCs w:val="24"/>
        </w:rPr>
      </w:pPr>
    </w:p>
    <w:p>
      <w:pPr>
        <w:rPr>
          <w:rFonts w:ascii="Times New Roman" w:hAnsi="Times New Roman" w:cs="Times New Roman"/>
          <w:szCs w:val="24"/>
        </w:rPr>
      </w:pPr>
    </w:p>
    <w:p>
      <w:r>
        <w:object w:dxaOrig="1708" w:dyaOrig="1105">
          <v:shape id="_x0000_i1034" type="#_x0000_t75" style="width:85.5pt;height:55pt" o:ole="">
            <v:imagedata r:id="rId12" o:title=""/>
          </v:shape>
          <o:OLEObject Type="Embed" ProgID="Excel.Sheet.12" ShapeID="_x0000_i1034" DrawAspect="Icon" ObjectID="_1696351377" r:id="rId13"/>
        </w:object>
      </w:r>
    </w:p>
    <w:p/>
    <w:p/>
    <w:p/>
    <w:p>
      <w:r>
        <w:object w:dxaOrig="1708" w:dyaOrig="1105">
          <v:shape id="_x0000_i1036" type="#_x0000_t75" style="width:85.5pt;height:55pt" o:ole="">
            <v:imagedata r:id="rId14" o:title=""/>
          </v:shape>
          <o:OLEObject Type="Embed" ProgID="Excel.Sheet.12" ShapeID="_x0000_i1036" DrawAspect="Icon" ObjectID="_1696351378" r:id="rId15"/>
        </w:object>
      </w:r>
    </w:p>
    <w:p>
      <w:pPr>
        <w:spacing w:after="160" w:line="259" w:lineRule="auto"/>
      </w:pPr>
      <w:r>
        <w:br w:type="page"/>
      </w:r>
    </w:p>
    <w:p>
      <w:pPr>
        <w:jc w:val="center"/>
        <w:rPr>
          <w:rFonts w:ascii="Times New Roman" w:hAnsi="Times New Roman" w:cs="Times New Roman"/>
          <w:b/>
          <w:bCs/>
          <w:szCs w:val="24"/>
          <w:u w:val="single"/>
        </w:rPr>
      </w:pPr>
      <w:r>
        <w:rPr>
          <w:rFonts w:ascii="Times New Roman" w:hAnsi="Times New Roman" w:cs="Times New Roman"/>
          <w:b/>
          <w:bCs/>
          <w:szCs w:val="24"/>
          <w:u w:val="single"/>
        </w:rPr>
        <w:lastRenderedPageBreak/>
        <w:t>CERTIFICATE OF SERVICE</w:t>
      </w:r>
    </w:p>
    <w:p>
      <w:pPr>
        <w:jc w:val="center"/>
        <w:rPr>
          <w:rFonts w:ascii="Times New Roman" w:hAnsi="Times New Roman" w:cs="Times New Roman"/>
          <w:b/>
          <w:bCs/>
          <w:szCs w:val="24"/>
          <w:u w:val="single"/>
        </w:rPr>
      </w:pPr>
    </w:p>
    <w:p>
      <w:pPr>
        <w:rPr>
          <w:rFonts w:ascii="Times New Roman" w:hAnsi="Times New Roman" w:cs="Times New Roman"/>
          <w:szCs w:val="24"/>
        </w:rPr>
      </w:pPr>
      <w:r>
        <w:rPr>
          <w:rFonts w:ascii="Times New Roman" w:hAnsi="Times New Roman" w:cs="Times New Roman"/>
          <w:szCs w:val="24"/>
        </w:rPr>
        <w:t>I hereby certify that a true and correct copy of the foregoing was served by electronic mail, or First Class United States Postal Mail, postage prepaid, on this 21st day of October, 2021, to all counsel of record.</w:t>
      </w:r>
    </w:p>
    <w:p>
      <w:pPr>
        <w:rPr>
          <w:rFonts w:ascii="Times New Roman" w:hAnsi="Times New Roman" w:cs="Times New Roman"/>
          <w:szCs w:val="24"/>
        </w:rPr>
      </w:pPr>
    </w:p>
    <w:p>
      <w:pPr>
        <w:rPr>
          <w:rFonts w:ascii="Times New Roman" w:hAnsi="Times New Roman" w:cs="Times New Roman"/>
          <w:szCs w:val="24"/>
        </w:rPr>
      </w:pPr>
    </w:p>
    <w:p>
      <w:pPr>
        <w:rPr>
          <w:rFonts w:ascii="Times New Roman" w:hAnsi="Times New Roman" w:cs="Times New Roman"/>
          <w:szCs w:val="24"/>
          <w:u w:val="single"/>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u w:val="single"/>
        </w:rPr>
        <w:t>/s/ Mark P. Johnson_______</w:t>
      </w:r>
    </w:p>
    <w:p>
      <w:pPr>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Mark P. Johnson</w:t>
      </w:r>
    </w:p>
    <w:p>
      <w:pPr>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p>
    <w:p>
      <w:pPr>
        <w:jc w:val="both"/>
        <w:rPr>
          <w:rFonts w:ascii="Times New Roman" w:hAnsi="Times New Roman" w:cs="Times New Roman"/>
          <w:szCs w:val="24"/>
        </w:rPr>
      </w:pPr>
    </w:p>
    <w:sectPr>
      <w:headerReference w:type="default" r:id="rId16"/>
      <w:footerReference w:type="default" r:id="rId17"/>
      <w:footerReference w:type="first" r:id="rId18"/>
      <w:pgSz w:w="12240" w:h="15840"/>
      <w:pgMar w:top="1440" w:right="1440" w:bottom="1440" w:left="1440"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44151322"/>
      <w:docPartObj>
        <w:docPartGallery w:val="Page Numbers (Bottom of Page)"/>
        <w:docPartUnique/>
      </w:docPartObj>
    </w:sdtPr>
    <w:sdtEndPr>
      <w:rPr>
        <w:noProof/>
      </w:rPr>
    </w:sdtEndPr>
    <w:sdtContent>
      <w:p>
        <w:pPr>
          <w:pStyle w:val="Footer"/>
          <w:jc w:val="cente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- 7 -</w:t>
        </w:r>
        <w:r>
          <w:rPr>
            <w:rFonts w:ascii="Times New Roman" w:hAnsi="Times New Roman" w:cs="Times New Roman"/>
            <w:noProof/>
          </w:rPr>
          <w:fldChar w:fldCharType="end"/>
        </w:r>
      </w:p>
    </w:sdtContent>
  </w:sdt>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Footer"/>
      <w:jc w:val="center"/>
    </w:pPr>
  </w:p>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
        <w:separator/>
      </w:r>
    </w:p>
  </w:footnote>
  <w:footnote w:type="continuationSeparator" w:id="0">
    <w:p>
      <w:r>
        <w:continuationSeparator/>
      </w:r>
    </w:p>
  </w:footnote>
  <w:footnote w:type="continuationNotice" w:id="1">
    <w:p/>
  </w:footnote>
  <w:footnote w:id="2">
    <w:p>
      <w:pPr>
        <w:pStyle w:val="FootnoteText"/>
        <w:jc w:val="both"/>
      </w:pPr>
      <w:r>
        <w:rPr>
          <w:rStyle w:val="FootnoteReference"/>
        </w:rPr>
        <w:footnoteRef/>
      </w:r>
      <w:r>
        <w:t xml:space="preserve"> </w:t>
      </w:r>
      <w:r>
        <w:rPr>
          <w:rFonts w:ascii="Times New Roman" w:hAnsi="Times New Roman" w:cs="Times New Roman"/>
        </w:rPr>
        <w:t xml:space="preserve">Charter </w:t>
      </w:r>
      <w:proofErr w:type="spellStart"/>
      <w:r>
        <w:rPr>
          <w:rFonts w:ascii="Times New Roman" w:hAnsi="Times New Roman" w:cs="Times New Roman"/>
        </w:rPr>
        <w:t>Fiberlink</w:t>
      </w:r>
      <w:proofErr w:type="spellEnd"/>
      <w:r>
        <w:rPr>
          <w:rFonts w:ascii="Times New Roman" w:hAnsi="Times New Roman" w:cs="Times New Roman"/>
        </w:rPr>
        <w:t xml:space="preserve"> NC-</w:t>
      </w:r>
      <w:proofErr w:type="spellStart"/>
      <w:r>
        <w:rPr>
          <w:rFonts w:ascii="Times New Roman" w:hAnsi="Times New Roman" w:cs="Times New Roman"/>
        </w:rPr>
        <w:t>CCO</w:t>
      </w:r>
      <w:proofErr w:type="spellEnd"/>
      <w:r>
        <w:rPr>
          <w:rFonts w:ascii="Times New Roman" w:hAnsi="Times New Roman" w:cs="Times New Roman"/>
        </w:rPr>
        <w:t xml:space="preserve"> , LLC and Time Warner Cable Information Services (North Carolina), LLC are wholly owned subsidiaries of Charter Communications, Inc. In this Notice, these Charter entities are also referred to collectively as “Charter.”</w:t>
      </w:r>
    </w:p>
  </w:footnote>
  <w:footnote w:id="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rPr>
        <w:t xml:space="preserve">Joint Application of Charter </w:t>
      </w:r>
      <w:proofErr w:type="spellStart"/>
      <w:r>
        <w:rPr>
          <w:rFonts w:ascii="Times New Roman" w:hAnsi="Times New Roman" w:cs="Times New Roman"/>
          <w:i/>
          <w:iCs/>
        </w:rPr>
        <w:t>Fiberlink</w:t>
      </w:r>
      <w:proofErr w:type="spellEnd"/>
      <w:r>
        <w:rPr>
          <w:rFonts w:ascii="Times New Roman" w:hAnsi="Times New Roman" w:cs="Times New Roman"/>
          <w:i/>
          <w:iCs/>
        </w:rPr>
        <w:t xml:space="preserve"> – Missouri, LLC and Time Warner Cable Information Services (Missouri), LLC for Designation as Eligible Telecommunications Carriers to Receive Rural Digital Opportunity Fund Auction (Auction 904) Support for Voice and Broadband Services and Request for Expedited Consideration</w:t>
      </w:r>
      <w:r>
        <w:rPr>
          <w:rFonts w:ascii="Times New Roman" w:hAnsi="Times New Roman" w:cs="Times New Roman"/>
        </w:rPr>
        <w:t>, File No. TA-2021-0204 (filed January 6, 2021).</w:t>
      </w:r>
    </w:p>
  </w:footnote>
  <w:footnote w:id="4">
    <w:p>
      <w:pPr>
        <w:pStyle w:val="FootnoteText"/>
        <w:jc w:val="both"/>
      </w:pPr>
      <w:r>
        <w:rPr>
          <w:rStyle w:val="FootnoteReference"/>
        </w:rPr>
        <w:footnoteRef/>
      </w:r>
      <w:r>
        <w:t xml:space="preserve">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Rural Digital Opportunity Fund, Public Notice – Rural Digital Opportunity Fund Bid Defaults Announced</w:t>
      </w:r>
      <w:r>
        <w:rPr>
          <w:rFonts w:ascii="Times New Roman" w:hAnsi="Times New Roman" w:cs="Times New Roman"/>
        </w:rPr>
        <w:t xml:space="preserve">, WC Docket No. 19-126 (FCC July 26, 2021), </w:t>
      </w:r>
      <w:r>
        <w:rPr>
          <w:rFonts w:ascii="Times New Roman" w:hAnsi="Times New Roman" w:cs="Times New Roman"/>
          <w:i/>
          <w:iCs/>
        </w:rPr>
        <w:t xml:space="preserve">available at </w:t>
      </w:r>
      <w:hyperlink r:id="rId1" w:history="1">
        <w:r>
          <w:rPr>
            <w:rStyle w:val="Hyperlink"/>
            <w:rFonts w:ascii="Times New Roman" w:hAnsi="Times New Roman" w:cs="Times New Roman"/>
          </w:rPr>
          <w:t>https://docs.fcc.gov/public/attachments/DA-21-910A1.pdf</w:t>
        </w:r>
      </w:hyperlink>
      <w:r>
        <w:rPr>
          <w:rFonts w:ascii="Times New Roman" w:hAnsi="Times New Roman" w:cs="Times New Roman"/>
        </w:rPr>
        <w:t xml:space="preserve"> and Attachment A thereto, available at </w:t>
      </w:r>
      <w:hyperlink r:id="rId2" w:history="1">
        <w:r>
          <w:rPr>
            <w:rStyle w:val="Hyperlink"/>
            <w:rFonts w:ascii="Times New Roman" w:hAnsi="Times New Roman" w:cs="Times New Roman"/>
          </w:rPr>
          <w:t>https://docs.fcc.gov/public/attachments/DA-21-910A2.pdf</w:t>
        </w:r>
      </w:hyperlink>
      <w:r>
        <w:rPr>
          <w:rFonts w:ascii="Times New Roman" w:hAnsi="Times New Roman" w:cs="Times New Roman"/>
        </w:rPr>
        <w:t xml:space="preserve"> (regarding the return of 67 Missouri census blocks by Charter </w:t>
      </w:r>
      <w:proofErr w:type="spellStart"/>
      <w:r>
        <w:rPr>
          <w:rFonts w:ascii="Times New Roman" w:hAnsi="Times New Roman" w:cs="Times New Roman"/>
        </w:rPr>
        <w:t>Fiberlink</w:t>
      </w:r>
      <w:proofErr w:type="spellEnd"/>
      <w:r>
        <w:rPr>
          <w:rFonts w:ascii="Times New Roman" w:hAnsi="Times New Roman" w:cs="Times New Roman"/>
        </w:rPr>
        <w:t xml:space="preserve"> – Missouri, LLC); </w:t>
      </w:r>
      <w:r>
        <w:rPr>
          <w:rFonts w:ascii="Times New Roman" w:hAnsi="Times New Roman" w:cs="Times New Roman"/>
          <w:i/>
          <w:iCs/>
        </w:rPr>
        <w:t>see also  Rural Digital Opportunity Fund Preliminary List of Areas Subject to Default Announced; Corrections Sought</w:t>
      </w:r>
      <w:r>
        <w:rPr>
          <w:rFonts w:ascii="Times New Roman" w:hAnsi="Times New Roman" w:cs="Times New Roman"/>
        </w:rPr>
        <w:t xml:space="preserve">, DA 21-1256 (FCC Oct. 7, 2021), </w:t>
      </w:r>
      <w:r>
        <w:rPr>
          <w:rFonts w:ascii="Times New Roman" w:hAnsi="Times New Roman" w:cs="Times New Roman"/>
          <w:i/>
          <w:iCs/>
        </w:rPr>
        <w:t>available at</w:t>
      </w:r>
      <w:r>
        <w:rPr>
          <w:rFonts w:ascii="Times New Roman" w:hAnsi="Times New Roman" w:cs="Times New Roman"/>
        </w:rPr>
        <w:t xml:space="preserve"> </w:t>
      </w:r>
      <w:hyperlink r:id="rId3" w:history="1">
        <w:r>
          <w:rPr>
            <w:rStyle w:val="Hyperlink"/>
            <w:rFonts w:ascii="Times New Roman" w:hAnsi="Times New Roman" w:cs="Times New Roman"/>
          </w:rPr>
          <w:t>https://www.fcc.gov/document/rural-digital-opportunity-fund-preliminary-defaults-announced</w:t>
        </w:r>
      </w:hyperlink>
      <w:r>
        <w:rPr>
          <w:rFonts w:ascii="Times New Roman" w:hAnsi="Times New Roman" w:cs="Times New Roman"/>
        </w:rPr>
        <w:t xml:space="preserve">, and </w:t>
      </w:r>
      <w:r>
        <w:rPr>
          <w:rFonts w:ascii="Times New Roman" w:hAnsi="Times New Roman" w:cs="Times New Roman"/>
          <w:i/>
          <w:iCs/>
        </w:rPr>
        <w:t>Preliminary List of Areas Subject to Default in Response to July 26th Letter (10/7/2021)</w:t>
      </w:r>
      <w:r>
        <w:rPr>
          <w:rFonts w:ascii="Times New Roman" w:hAnsi="Times New Roman" w:cs="Times New Roman"/>
        </w:rPr>
        <w:t xml:space="preserve">, </w:t>
      </w:r>
      <w:r>
        <w:rPr>
          <w:rFonts w:ascii="Times New Roman" w:hAnsi="Times New Roman" w:cs="Times New Roman"/>
          <w:i/>
          <w:iCs/>
        </w:rPr>
        <w:t>available at</w:t>
      </w:r>
      <w:r>
        <w:rPr>
          <w:rFonts w:ascii="Times New Roman" w:hAnsi="Times New Roman" w:cs="Times New Roman"/>
        </w:rPr>
        <w:t xml:space="preserve"> </w:t>
      </w:r>
      <w:hyperlink r:id="rId4" w:history="1">
        <w:r>
          <w:rPr>
            <w:rStyle w:val="Hyperlink"/>
            <w:rFonts w:ascii="Times New Roman" w:hAnsi="Times New Roman" w:cs="Times New Roman"/>
          </w:rPr>
          <w:t>https://www.fcc.gov/file/21940/download</w:t>
        </w:r>
      </w:hyperlink>
      <w:r>
        <w:rPr>
          <w:rFonts w:ascii="Times New Roman" w:hAnsi="Times New Roman" w:cs="Times New Roman"/>
        </w:rPr>
        <w:t xml:space="preserve"> (regarding the return of 2 additional Missouri census blocks by Charter </w:t>
      </w:r>
      <w:proofErr w:type="spellStart"/>
      <w:r>
        <w:rPr>
          <w:rFonts w:ascii="Times New Roman" w:hAnsi="Times New Roman" w:cs="Times New Roman"/>
        </w:rPr>
        <w:t>Fiberlink</w:t>
      </w:r>
      <w:proofErr w:type="spellEnd"/>
      <w:r>
        <w:rPr>
          <w:rFonts w:ascii="Times New Roman" w:hAnsi="Times New Roman" w:cs="Times New Roman"/>
        </w:rPr>
        <w:t xml:space="preserve"> – Missouri, LLC). On October 1, 2021, Charter informed FCC Staff of certain additional census block groups that Charter had originally won in the RDOF auction, for which it is no longer applying for RDOF support in Missouri. This list has not yet been publicly released by the FCC, but Charter expects that it will be at a later 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F21B7"/>
    <w:multiLevelType w:val="hybridMultilevel"/>
    <w:tmpl w:val="CBCCDF28"/>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8701B3C"/>
    <w:multiLevelType w:val="hybridMultilevel"/>
    <w:tmpl w:val="1CAE9666"/>
    <w:lvl w:ilvl="0" w:tplc="F556AA62">
      <w:start w:val="4"/>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EA42AB"/>
    <w:multiLevelType w:val="hybridMultilevel"/>
    <w:tmpl w:val="B4E2E9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EB14A8"/>
    <w:multiLevelType w:val="hybridMultilevel"/>
    <w:tmpl w:val="CC22DD98"/>
    <w:lvl w:ilvl="0" w:tplc="72FA53E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C683A67"/>
    <w:multiLevelType w:val="hybridMultilevel"/>
    <w:tmpl w:val="177432FC"/>
    <w:lvl w:ilvl="0" w:tplc="799E43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EC74E97"/>
    <w:multiLevelType w:val="hybridMultilevel"/>
    <w:tmpl w:val="697A03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1B64A8"/>
    <w:multiLevelType w:val="hybridMultilevel"/>
    <w:tmpl w:val="621E8B2E"/>
    <w:lvl w:ilvl="0" w:tplc="04090015">
      <w:start w:val="1"/>
      <w:numFmt w:val="upperLetter"/>
      <w:lvlText w:val="%1."/>
      <w:lvlJc w:val="left"/>
      <w:pPr>
        <w:ind w:left="720" w:hanging="360"/>
      </w:p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F23497"/>
    <w:multiLevelType w:val="hybridMultilevel"/>
    <w:tmpl w:val="09FEB60E"/>
    <w:lvl w:ilvl="0" w:tplc="4B78B6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5"/>
  </w:num>
  <w:num w:numId="5">
    <w:abstractNumId w:val="6"/>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 w:id="1"/>
  </w:footnotePr>
  <w:endnotePr>
    <w:endnote w:id="-1"/>
    <w:endnote w:id="0"/>
    <w:endnote w:id="1"/>
  </w:endnotePr>
  <w:compat>
    <w:noExtraLine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9E2C4A2E-D269-40A7-A8CC-AB9FB4D52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8"/>
    <w:lsdException w:name="heading 2" w:semiHidden="1" w:uiPriority="98" w:unhideWhenUsed="1"/>
    <w:lsdException w:name="heading 3" w:semiHidden="1" w:uiPriority="98" w:unhideWhenUsed="1"/>
    <w:lsdException w:name="heading 4" w:semiHidden="1" w:uiPriority="98" w:unhideWhenUsed="1"/>
    <w:lsdException w:name="heading 5" w:semiHidden="1" w:uiPriority="98" w:unhideWhenUsed="1"/>
    <w:lsdException w:name="heading 6" w:semiHidden="1" w:uiPriority="98" w:unhideWhenUsed="1"/>
    <w:lsdException w:name="heading 7" w:semiHidden="1" w:uiPriority="98" w:unhideWhenUsed="1"/>
    <w:lsdException w:name="heading 8" w:semiHidden="1" w:uiPriority="98" w:unhideWhenUsed="1"/>
    <w:lsdException w:name="heading 9" w:semiHidden="1" w:uiPriority="98"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8"/>
    <w:lsdException w:name="Emphasis" w:uiPriority="9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8" w:qFormat="1"/>
    <w:lsdException w:name="Quote" w:uiPriority="98"/>
    <w:lsdException w:name="Intense Quote"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8"/>
    <w:lsdException w:name="Intense Emphasis" w:uiPriority="98"/>
    <w:lsdException w:name="Subtle Reference" w:uiPriority="98"/>
    <w:lsdException w:name="Intense Reference" w:uiPriority="98"/>
    <w:lsdException w:name="Book Title" w:uiPriority="98"/>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cs="Arial"/>
      <w:sz w:val="24"/>
    </w:rPr>
  </w:style>
  <w:style w:type="paragraph" w:styleId="Heading1">
    <w:name w:val="heading 1"/>
    <w:basedOn w:val="Normal"/>
    <w:next w:val="Normal"/>
    <w:link w:val="Heading1Char"/>
    <w:uiPriority w:val="98"/>
    <w:semiHidden/>
    <w:unhideWhenUsed/>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8"/>
    <w:semiHidden/>
    <w:unhideWhenUse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8"/>
    <w:semiHidden/>
    <w:unhideWhenUsed/>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8"/>
    <w:semiHidden/>
    <w:unhideWhenUsed/>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8"/>
    <w:semiHidden/>
    <w:unhideWhenUsed/>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8"/>
    <w:semiHidden/>
    <w:unhideWhenUsed/>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8"/>
    <w:semiHidden/>
    <w:unhideWhenUsed/>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8"/>
    <w:semiHidden/>
    <w:unhideWhenUse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8"/>
    <w:semiHidden/>
    <w:unhideWhenUse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1"/>
    <w:qFormat/>
    <w:pPr>
      <w:spacing w:after="240"/>
      <w:ind w:firstLine="720"/>
    </w:pPr>
  </w:style>
  <w:style w:type="paragraph" w:customStyle="1" w:styleId="Body2">
    <w:name w:val="Body 2"/>
    <w:basedOn w:val="Body"/>
    <w:uiPriority w:val="2"/>
    <w:qFormat/>
    <w:pPr>
      <w:spacing w:after="0" w:line="480" w:lineRule="auto"/>
    </w:pPr>
  </w:style>
  <w:style w:type="paragraph" w:styleId="Title">
    <w:name w:val="Title"/>
    <w:basedOn w:val="Normal"/>
    <w:next w:val="Normal"/>
    <w:link w:val="TitleChar"/>
    <w:uiPriority w:val="4"/>
    <w:qFormat/>
    <w:pPr>
      <w:keepNext/>
      <w:keepLines/>
      <w:suppressAutoHyphens/>
      <w:spacing w:after="280"/>
      <w:contextualSpacing/>
      <w:jc w:val="center"/>
    </w:pPr>
    <w:rPr>
      <w:rFonts w:eastAsiaTheme="majorEastAsia" w:cstheme="majorBidi"/>
      <w:b/>
      <w:smallCaps/>
      <w:sz w:val="26"/>
      <w:szCs w:val="52"/>
    </w:rPr>
  </w:style>
  <w:style w:type="character" w:customStyle="1" w:styleId="TitleChar">
    <w:name w:val="Title Char"/>
    <w:basedOn w:val="DefaultParagraphFont"/>
    <w:link w:val="Title"/>
    <w:uiPriority w:val="10"/>
    <w:rPr>
      <w:rFonts w:ascii="Arial" w:eastAsiaTheme="majorEastAsia" w:hAnsi="Arial" w:cstheme="majorBidi"/>
      <w:b/>
      <w:smallCaps/>
      <w:sz w:val="26"/>
      <w:szCs w:val="52"/>
    </w:rPr>
  </w:style>
  <w:style w:type="paragraph" w:customStyle="1" w:styleId="Block">
    <w:name w:val="Block"/>
    <w:basedOn w:val="Normal"/>
    <w:uiPriority w:val="3"/>
    <w:qFormat/>
    <w:pPr>
      <w:spacing w:after="240"/>
    </w:pPr>
  </w:style>
  <w:style w:type="paragraph" w:customStyle="1" w:styleId="Heading">
    <w:name w:val="Heading"/>
    <w:basedOn w:val="Title"/>
    <w:uiPriority w:val="8"/>
    <w:pPr>
      <w:outlineLvl w:val="0"/>
    </w:pPr>
  </w:style>
  <w:style w:type="character" w:customStyle="1" w:styleId="Def">
    <w:name w:val="Def"/>
    <w:basedOn w:val="DefaultParagraphFont"/>
    <w:uiPriority w:val="5"/>
    <w:rPr>
      <w:rFonts w:ascii="Times New Roman" w:hAnsi="Times New Roman"/>
      <w:b/>
      <w:i w:val="0"/>
      <w:sz w:val="24"/>
    </w:rPr>
  </w:style>
  <w:style w:type="paragraph" w:customStyle="1" w:styleId="Bkgrd">
    <w:name w:val="Bkgrd"/>
    <w:basedOn w:val="Normal"/>
    <w:uiPriority w:val="6"/>
    <w:pPr>
      <w:jc w:val="center"/>
    </w:pPr>
    <w:rPr>
      <w:i/>
    </w:rPr>
  </w:style>
  <w:style w:type="paragraph" w:customStyle="1" w:styleId="SubHeading">
    <w:name w:val="SubHeading"/>
    <w:basedOn w:val="Heading"/>
    <w:uiPriority w:val="9"/>
    <w:pPr>
      <w:jc w:val="left"/>
    </w:pPr>
    <w:rPr>
      <w:sz w:val="2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2F5496" w:themeColor="accent1" w:themeShade="BF"/>
      <w:sz w:val="28"/>
      <w:szCs w:val="28"/>
    </w:rPr>
  </w:style>
  <w:style w:type="character" w:styleId="BookTitle">
    <w:name w:val="Book Title"/>
    <w:basedOn w:val="DefaultParagraphFont"/>
    <w:uiPriority w:val="98"/>
    <w:semiHidden/>
    <w:rPr>
      <w:b/>
      <w:bCs/>
      <w:i/>
      <w:iCs/>
      <w:spacing w:val="5"/>
    </w:rPr>
  </w:style>
  <w:style w:type="paragraph" w:styleId="Subtitle">
    <w:name w:val="Subtitle"/>
    <w:basedOn w:val="Normal"/>
    <w:next w:val="Normal"/>
    <w:link w:val="SubtitleChar"/>
    <w:uiPriority w:val="98"/>
    <w:semiHidden/>
    <w:pPr>
      <w:numPr>
        <w:ilvl w:val="1"/>
      </w:numPr>
      <w:spacing w:after="160"/>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Emphasis">
    <w:name w:val="Emphasis"/>
    <w:basedOn w:val="DefaultParagraphFont"/>
    <w:uiPriority w:val="98"/>
    <w:semiHidden/>
    <w:rPr>
      <w:i/>
      <w:iCs/>
    </w:rPr>
  </w:style>
  <w:style w:type="character" w:styleId="IntenseEmphasis">
    <w:name w:val="Intense Emphasis"/>
    <w:basedOn w:val="DefaultParagraphFont"/>
    <w:uiPriority w:val="98"/>
    <w:semiHidden/>
    <w:rPr>
      <w:i/>
      <w:iCs/>
      <w:color w:val="4472C4" w:themeColor="accent1"/>
    </w:rPr>
  </w:style>
  <w:style w:type="paragraph" w:styleId="IntenseQuote">
    <w:name w:val="Intense Quote"/>
    <w:basedOn w:val="Normal"/>
    <w:next w:val="Normal"/>
    <w:link w:val="IntenseQuoteChar"/>
    <w:uiPriority w:val="98"/>
    <w:semiHidden/>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Pr>
      <w:rFonts w:ascii="Arial" w:hAnsi="Arial" w:cs="Arial"/>
      <w:i/>
      <w:iCs/>
      <w:color w:val="4472C4" w:themeColor="accent1"/>
    </w:rPr>
  </w:style>
  <w:style w:type="character" w:styleId="IntenseReference">
    <w:name w:val="Intense Reference"/>
    <w:basedOn w:val="DefaultParagraphFont"/>
    <w:uiPriority w:val="98"/>
    <w:semiHidden/>
    <w:rPr>
      <w:b/>
      <w:bCs/>
      <w:smallCaps/>
      <w:color w:val="4472C4" w:themeColor="accent1"/>
      <w:spacing w:val="5"/>
    </w:rPr>
  </w:style>
  <w:style w:type="paragraph" w:styleId="ListParagraph">
    <w:name w:val="List Paragraph"/>
    <w:basedOn w:val="Normal"/>
    <w:uiPriority w:val="98"/>
    <w:qFormat/>
    <w:pPr>
      <w:ind w:left="720"/>
      <w:contextualSpacing/>
    </w:pPr>
  </w:style>
  <w:style w:type="paragraph" w:styleId="NoSpacing">
    <w:name w:val="No Spacing"/>
    <w:uiPriority w:val="98"/>
    <w:semiHidden/>
    <w:pPr>
      <w:spacing w:after="0" w:line="240" w:lineRule="auto"/>
      <w:jc w:val="both"/>
    </w:pPr>
    <w:rPr>
      <w:rFonts w:ascii="Arial" w:hAnsi="Arial" w:cs="Arial"/>
    </w:rPr>
  </w:style>
  <w:style w:type="paragraph" w:styleId="Quote">
    <w:name w:val="Quote"/>
    <w:basedOn w:val="Normal"/>
    <w:next w:val="Normal"/>
    <w:link w:val="QuoteChar"/>
    <w:uiPriority w:val="98"/>
    <w:semiHidden/>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Arial" w:hAnsi="Arial" w:cs="Arial"/>
      <w:i/>
      <w:iCs/>
      <w:color w:val="404040" w:themeColor="text1" w:themeTint="BF"/>
    </w:rPr>
  </w:style>
  <w:style w:type="character" w:styleId="Strong">
    <w:name w:val="Strong"/>
    <w:basedOn w:val="DefaultParagraphFont"/>
    <w:uiPriority w:val="98"/>
    <w:semiHidden/>
    <w:rPr>
      <w:b/>
      <w:bCs/>
    </w:rPr>
  </w:style>
  <w:style w:type="character" w:styleId="SubtleEmphasis">
    <w:name w:val="Subtle Emphasis"/>
    <w:basedOn w:val="DefaultParagraphFont"/>
    <w:uiPriority w:val="98"/>
    <w:semiHidden/>
    <w:rPr>
      <w:i/>
      <w:iCs/>
      <w:color w:val="404040" w:themeColor="text1" w:themeTint="BF"/>
    </w:rPr>
  </w:style>
  <w:style w:type="character" w:styleId="SubtleReference">
    <w:name w:val="Subtle Reference"/>
    <w:basedOn w:val="DefaultParagraphFont"/>
    <w:uiPriority w:val="98"/>
    <w:semiHidden/>
    <w:rPr>
      <w:smallCaps/>
      <w:color w:val="5A5A5A" w:themeColor="text1" w:themeTint="A5"/>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3763"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763" w:themeColor="accent1" w:themeShade="7F"/>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496" w:themeColor="accent1" w:themeShade="BF"/>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pPr>
      <w:spacing w:after="0" w:line="240" w:lineRule="auto"/>
    </w:pPr>
    <w:rPr>
      <w:rFonts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FootnoteText">
    <w:name w:val="footnote text"/>
    <w:aliases w:val="ALTS FOOTNOTE Char,Footnote Text Ch,Footnote Text Char2 Char,Footnote Text Char2 Char1 Char1 Char,Footnote Text Char2 Char1 Char1 Char Char Char,Footnote Text Char3 Char1 Char,Footnote Text Char3 Char1 Char Char Char,f,fn,fn Char1,ft"/>
    <w:basedOn w:val="Normal"/>
    <w:link w:val="FootnoteTextChar"/>
    <w:unhideWhenUsed/>
    <w:qFormat/>
    <w:rPr>
      <w:sz w:val="20"/>
      <w:szCs w:val="20"/>
    </w:rPr>
  </w:style>
  <w:style w:type="character" w:customStyle="1" w:styleId="FootnoteTextChar">
    <w:name w:val="Footnote Text Char"/>
    <w:aliases w:val="ALTS FOOTNOTE Char Char,Footnote Text Ch Char,Footnote Text Char2 Char Char,Footnote Text Char2 Char1 Char1 Char Char,Footnote Text Char2 Char1 Char1 Char Char Char Char,Footnote Text Char3 Char1 Char Char,f Char,fn Char,fn Char1 Char"/>
    <w:basedOn w:val="DefaultParagraphFont"/>
    <w:link w:val="FootnoteText"/>
    <w:rPr>
      <w:rFonts w:cs="Arial"/>
      <w:sz w:val="20"/>
      <w:szCs w:val="20"/>
    </w:rPr>
  </w:style>
  <w:style w:type="character" w:styleId="FootnoteReference">
    <w:name w:val="footnote reference"/>
    <w:aliases w:val="(NECG) Footnote Reference,Appel note de bas de p,FR,Footnote Reference/,Style 12,Style 124,Style 17,Style 20,Style 3,Style 6,callout,fr,o"/>
    <w:basedOn w:val="DefaultParagraphFont"/>
    <w:uiPriority w:val="99"/>
    <w:unhideWhenUsed/>
    <w:qFormat/>
    <w:rPr>
      <w:vertAlign w:val="superscript"/>
    </w:r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cs="Arial"/>
      <w:b/>
      <w:bCs/>
      <w:sz w:val="20"/>
      <w:szCs w:val="20"/>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cs="Arial"/>
      <w:sz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cs="Arial"/>
      <w:sz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Pr>
      <w:color w:val="954F72" w:themeColor="followedHyperlink"/>
      <w:u w:val="single"/>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emf" Id="rId8" /><Relationship Type="http://schemas.openxmlformats.org/officeDocument/2006/relationships/package" Target="embeddings/Microsoft_Excel_Worksheet2.xlsx" Id="rId13" /><Relationship Type="http://schemas.openxmlformats.org/officeDocument/2006/relationships/footer" Target="footer2.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image" Target="media/image3.emf" Id="rId12" /><Relationship Type="http://schemas.openxmlformats.org/officeDocument/2006/relationships/footer" Target="footer1.xml" Id="rId17" /><Relationship Type="http://schemas.openxmlformats.org/officeDocument/2006/relationships/numbering" Target="numbering.xml" Id="rId2" /><Relationship Type="http://schemas.openxmlformats.org/officeDocument/2006/relationships/header" Target="head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package" Target="embeddings/Microsoft_Excel_Worksheet1.xlsx" Id="rId11" /><Relationship Type="http://schemas.openxmlformats.org/officeDocument/2006/relationships/webSettings" Target="webSettings.xml" Id="rId5" /><Relationship Type="http://schemas.openxmlformats.org/officeDocument/2006/relationships/package" Target="embeddings/Microsoft_Excel_Worksheet3.xlsx" Id="rId15" /><Relationship Type="http://schemas.openxmlformats.org/officeDocument/2006/relationships/image" Target="media/image2.emf" Id="rId10" /><Relationship Type="http://schemas.openxmlformats.org/officeDocument/2006/relationships/fontTable" Target="fontTable.xml" Id="rId19" /><Relationship Type="http://schemas.openxmlformats.org/officeDocument/2006/relationships/settings" Target="settings.xml" Id="rId4" /><Relationship Type="http://schemas.openxmlformats.org/officeDocument/2006/relationships/package" Target="embeddings/Microsoft_Excel_Worksheet.xlsx" Id="rId9" /><Relationship Type="http://schemas.openxmlformats.org/officeDocument/2006/relationships/image" Target="media/image4.emf" Id="rId14" /><Relationship Type="http://schemas.openxmlformats.org/officeDocument/2006/relationships/customXml" Target="/customXML/item2.xml" Id="imanage.xml" /></Relationships>
</file>

<file path=word/_rels/footnotes.xml.rels><?xml version="1.0" encoding="UTF-8" standalone="yes"?>
<Relationships xmlns="http://schemas.openxmlformats.org/package/2006/relationships"><Relationship Id="rId3" Type="http://schemas.openxmlformats.org/officeDocument/2006/relationships/hyperlink" Target="https://www.fcc.gov/document/rural-digital-opportunity-fund-preliminary-defaults-announced" TargetMode="External"/><Relationship Id="rId2" Type="http://schemas.openxmlformats.org/officeDocument/2006/relationships/hyperlink" Target="https://docs.fcc.gov/public/attachments/DA-21-910A2.pdf" TargetMode="External"/><Relationship Id="rId1" Type="http://schemas.openxmlformats.org/officeDocument/2006/relationships/hyperlink" Target="https://docs.fcc.gov/public/attachments/DA-21-910A1.pdf" TargetMode="External"/><Relationship Id="rId4" Type="http://schemas.openxmlformats.org/officeDocument/2006/relationships/hyperlink" Target="https://www.fcc.gov/file/21940/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2.xml>��< ? x m l   v e r s i o n = " 1 . 0 "   e n c o d i n g = " u t f - 1 6 " ? >  
 < p r o p e r t i e s   x m l n s = " h t t p : / / w w w . i m a n a g e . c o m / w o r k / x m l s c h e m a " >  
     < d o c u m e n t i d > U S _ A c t i v e ! 1 1 9 6 4 1 6 1 8 . 1 < / d o c u m e n t i d >  
     < s e n d e r i d > M J O H N S O N < / s e n d e r i d >  
     < s e n d e r e m a i l > M A R K . J O H N S O N @ D E N T O N S . C O M < / s e n d e r e m a i l >  
     < l a s t m o d i f i e d > 2 0 2 1 - 1 0 - 2 1 T 1 9 : 5 6 : 0 0 . 0 0 0 0 0 0 0 - 0 5 : 0 0 < / l a s t m o d i f i e d >  
     < d a t a b a s e > U S _ A c t i v e < / 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33368-A217-4035-8DB8-6CE4F4B3D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607</Words>
  <Characters>3611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Legal</dc:creator>
  <cp:keywords/>
  <dc:description/>
  <cp:lastModifiedBy>Johnson, Mark P.</cp:lastModifiedBy>
  <cp:revision>8</cp:revision>
  <cp:lastPrinted>2021-10-21T15:20:00Z</cp:lastPrinted>
  <dcterms:created xsi:type="dcterms:W3CDTF">2021-10-21T15:13:00Z</dcterms:created>
  <dcterms:modified xsi:type="dcterms:W3CDTF">2021-10-22T00:56:00Z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TXDocID">
    <vt:lpwstr>T:\Charter\FCC Regulatory\Rural Digital Opp Fund\ETC Materials\MO\Application\CB Modification\MO_Notice of Amendment to Service Area (redline 2021-10-19).docx</vt:lpwstr>
  </property>
  <property fmtid="{D5CDD505-2E9C-101B-9397-08002B2CF9AE}" pid="3" name="WTXMatterID">
    <vt:lpwstr/>
  </property>
  <property fmtid="{D5CDD505-2E9C-101B-9397-08002B2CF9AE}" pid="4" name="WTXDocPath">
    <vt:lpwstr>MO_Notice of Amendment to Service Area (redline 2021-10-19).docx</vt:lpwstr>
  </property>
  <property fmtid="{D5CDD505-2E9C-101B-9397-08002B2CF9AE}" pid="5" name="CUS_DocIDDisableNotifications">
    <vt:lpwstr/>
  </property>
</Properties>
</file>