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36F3" w14:textId="77777777" w:rsidR="002859D3" w:rsidRPr="002859D3" w:rsidRDefault="002859D3" w:rsidP="00673DE0">
      <w:pPr>
        <w:widowControl w:val="0"/>
        <w:kinsoku w:val="0"/>
        <w:spacing w:after="120" w:line="240" w:lineRule="auto"/>
        <w:jc w:val="center"/>
        <w:rPr>
          <w:rFonts w:ascii="Arial" w:eastAsia="Times New Roman" w:hAnsi="Arial" w:cs="Arial"/>
          <w:b/>
          <w:bCs/>
          <w:spacing w:val="-6"/>
          <w:w w:val="105"/>
          <w:sz w:val="28"/>
          <w:szCs w:val="24"/>
        </w:rPr>
      </w:pPr>
      <w:r w:rsidRPr="002859D3">
        <w:rPr>
          <w:rFonts w:ascii="Arial" w:eastAsia="Times New Roman" w:hAnsi="Arial" w:cs="Arial"/>
          <w:b/>
          <w:bCs/>
          <w:spacing w:val="-6"/>
          <w:w w:val="105"/>
          <w:sz w:val="28"/>
          <w:szCs w:val="24"/>
        </w:rPr>
        <w:t>BEFORE THE PUBLIC SERVICE COMMISSION</w:t>
      </w:r>
      <w:r w:rsidRPr="002859D3">
        <w:rPr>
          <w:rFonts w:ascii="Arial" w:eastAsia="Times New Roman" w:hAnsi="Arial" w:cs="Arial"/>
          <w:b/>
          <w:bCs/>
          <w:spacing w:val="-6"/>
          <w:w w:val="105"/>
          <w:sz w:val="28"/>
          <w:szCs w:val="24"/>
        </w:rPr>
        <w:br/>
        <w:t>OF THE STATE OF MISSOURI</w:t>
      </w:r>
    </w:p>
    <w:p w14:paraId="40EDF30D" w14:textId="77777777" w:rsidR="002859D3" w:rsidRPr="002859D3" w:rsidRDefault="002859D3" w:rsidP="00673DE0">
      <w:pPr>
        <w:widowControl w:val="0"/>
        <w:kinsoku w:val="0"/>
        <w:spacing w:after="120" w:line="240" w:lineRule="auto"/>
        <w:jc w:val="both"/>
        <w:rPr>
          <w:rFonts w:ascii="Arial" w:eastAsia="Times New Roman" w:hAnsi="Arial" w:cs="Arial"/>
          <w:b/>
          <w:bCs/>
          <w:spacing w:val="-6"/>
          <w:w w:val="105"/>
          <w:sz w:val="28"/>
          <w:szCs w:val="24"/>
        </w:rPr>
      </w:pPr>
    </w:p>
    <w:p w14:paraId="2392E403" w14:textId="77777777" w:rsidR="005B06F5" w:rsidRPr="005B06F5" w:rsidRDefault="005B06F5" w:rsidP="00673DE0">
      <w:pPr>
        <w:spacing w:after="0" w:line="240" w:lineRule="auto"/>
        <w:jc w:val="both"/>
        <w:rPr>
          <w:rFonts w:ascii="Arial" w:eastAsia="Times New Roman" w:hAnsi="Arial" w:cs="Arial"/>
          <w:sz w:val="24"/>
          <w:szCs w:val="24"/>
        </w:rPr>
      </w:pPr>
    </w:p>
    <w:p w14:paraId="55421C95" w14:textId="77777777" w:rsidR="005B06F5" w:rsidRPr="005B06F5" w:rsidRDefault="005B06F5" w:rsidP="00673DE0">
      <w:pPr>
        <w:autoSpaceDE w:val="0"/>
        <w:autoSpaceDN w:val="0"/>
        <w:adjustRightInd w:val="0"/>
        <w:spacing w:after="0" w:line="245" w:lineRule="exact"/>
        <w:ind w:right="-20"/>
        <w:jc w:val="both"/>
        <w:rPr>
          <w:rFonts w:ascii="Arial" w:eastAsia="Times New Roman" w:hAnsi="Arial" w:cs="Arial"/>
          <w:sz w:val="24"/>
          <w:szCs w:val="24"/>
        </w:rPr>
      </w:pPr>
      <w:r w:rsidRPr="005B06F5">
        <w:rPr>
          <w:rFonts w:ascii="Arial" w:eastAsia="Times New Roman" w:hAnsi="Arial" w:cs="Arial"/>
          <w:sz w:val="24"/>
          <w:szCs w:val="24"/>
        </w:rPr>
        <w:t>In</w:t>
      </w:r>
      <w:r w:rsidRPr="005B06F5">
        <w:rPr>
          <w:rFonts w:ascii="Arial" w:eastAsia="Times New Roman" w:hAnsi="Arial" w:cs="Arial"/>
          <w:spacing w:val="1"/>
          <w:sz w:val="24"/>
          <w:szCs w:val="24"/>
        </w:rPr>
        <w:t xml:space="preserve"> t</w:t>
      </w:r>
      <w:r w:rsidRPr="005B06F5">
        <w:rPr>
          <w:rFonts w:ascii="Arial" w:eastAsia="Times New Roman" w:hAnsi="Arial" w:cs="Arial"/>
          <w:spacing w:val="-1"/>
          <w:sz w:val="24"/>
          <w:szCs w:val="24"/>
        </w:rPr>
        <w:t>h</w:t>
      </w:r>
      <w:r w:rsidRPr="005B06F5">
        <w:rPr>
          <w:rFonts w:ascii="Arial" w:eastAsia="Times New Roman" w:hAnsi="Arial" w:cs="Arial"/>
          <w:sz w:val="24"/>
          <w:szCs w:val="24"/>
        </w:rPr>
        <w:t>e</w:t>
      </w:r>
      <w:r w:rsidRPr="005B06F5">
        <w:rPr>
          <w:rFonts w:ascii="Arial" w:eastAsia="Times New Roman" w:hAnsi="Arial" w:cs="Arial"/>
          <w:spacing w:val="1"/>
          <w:sz w:val="24"/>
          <w:szCs w:val="24"/>
        </w:rPr>
        <w:t xml:space="preserve"> </w:t>
      </w:r>
      <w:r w:rsidRPr="005B06F5">
        <w:rPr>
          <w:rFonts w:ascii="Arial" w:eastAsia="Times New Roman" w:hAnsi="Arial" w:cs="Arial"/>
          <w:sz w:val="24"/>
          <w:szCs w:val="24"/>
        </w:rPr>
        <w:t>Ma</w:t>
      </w:r>
      <w:r w:rsidRPr="005B06F5">
        <w:rPr>
          <w:rFonts w:ascii="Arial" w:eastAsia="Times New Roman" w:hAnsi="Arial" w:cs="Arial"/>
          <w:spacing w:val="-1"/>
          <w:sz w:val="24"/>
          <w:szCs w:val="24"/>
        </w:rPr>
        <w:t>t</w:t>
      </w:r>
      <w:r w:rsidRPr="005B06F5">
        <w:rPr>
          <w:rFonts w:ascii="Arial" w:eastAsia="Times New Roman" w:hAnsi="Arial" w:cs="Arial"/>
          <w:sz w:val="24"/>
          <w:szCs w:val="24"/>
        </w:rPr>
        <w:t>t</w:t>
      </w:r>
      <w:r w:rsidRPr="005B06F5">
        <w:rPr>
          <w:rFonts w:ascii="Arial" w:eastAsia="Times New Roman" w:hAnsi="Arial" w:cs="Arial"/>
          <w:spacing w:val="1"/>
          <w:sz w:val="24"/>
          <w:szCs w:val="24"/>
        </w:rPr>
        <w:t>e</w:t>
      </w:r>
      <w:r w:rsidRPr="005B06F5">
        <w:rPr>
          <w:rFonts w:ascii="Arial" w:eastAsia="Times New Roman" w:hAnsi="Arial" w:cs="Arial"/>
          <w:sz w:val="24"/>
          <w:szCs w:val="24"/>
        </w:rPr>
        <w:t xml:space="preserve">r </w:t>
      </w:r>
      <w:r w:rsidRPr="005B06F5">
        <w:rPr>
          <w:rFonts w:ascii="Arial" w:eastAsia="Times New Roman" w:hAnsi="Arial" w:cs="Arial"/>
          <w:spacing w:val="-2"/>
          <w:sz w:val="24"/>
          <w:szCs w:val="24"/>
        </w:rPr>
        <w:t>o</w:t>
      </w:r>
      <w:r w:rsidRPr="005B06F5">
        <w:rPr>
          <w:rFonts w:ascii="Arial" w:eastAsia="Times New Roman" w:hAnsi="Arial" w:cs="Arial"/>
          <w:sz w:val="24"/>
          <w:szCs w:val="24"/>
        </w:rPr>
        <w:t>f</w:t>
      </w:r>
      <w:r w:rsidRPr="005B06F5">
        <w:rPr>
          <w:rFonts w:ascii="Arial" w:eastAsia="Times New Roman" w:hAnsi="Arial" w:cs="Arial"/>
          <w:spacing w:val="1"/>
          <w:sz w:val="24"/>
          <w:szCs w:val="24"/>
        </w:rPr>
        <w:t xml:space="preserve"> Evergy Metro, Inc. d/b/a </w:t>
      </w:r>
      <w:r w:rsidRPr="005B06F5">
        <w:rPr>
          <w:rFonts w:ascii="Arial" w:eastAsia="Times New Roman" w:hAnsi="Arial" w:cs="Arial"/>
          <w:spacing w:val="1"/>
          <w:sz w:val="24"/>
          <w:szCs w:val="24"/>
        </w:rPr>
        <w:tab/>
      </w:r>
      <w:r w:rsidRPr="005B06F5">
        <w:rPr>
          <w:rFonts w:ascii="Arial" w:eastAsia="Times New Roman" w:hAnsi="Arial" w:cs="Arial"/>
          <w:spacing w:val="1"/>
          <w:sz w:val="24"/>
          <w:szCs w:val="24"/>
        </w:rPr>
        <w:tab/>
      </w:r>
      <w:r w:rsidRPr="005B06F5">
        <w:rPr>
          <w:rFonts w:ascii="Arial" w:eastAsia="Times New Roman" w:hAnsi="Arial" w:cs="Arial"/>
          <w:sz w:val="24"/>
          <w:szCs w:val="24"/>
        </w:rPr>
        <w:t>)</w:t>
      </w:r>
      <w:r w:rsidRPr="005B06F5">
        <w:rPr>
          <w:rFonts w:ascii="Arial" w:eastAsia="Times New Roman" w:hAnsi="Arial" w:cs="Arial"/>
          <w:sz w:val="24"/>
          <w:szCs w:val="24"/>
        </w:rPr>
        <w:tab/>
      </w:r>
    </w:p>
    <w:p w14:paraId="644F63A2"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z w:val="24"/>
          <w:szCs w:val="24"/>
        </w:rPr>
        <w:t>Evergy Missouri Metro’s Re</w:t>
      </w:r>
      <w:r w:rsidRPr="005B06F5">
        <w:rPr>
          <w:rFonts w:ascii="Arial" w:eastAsia="Times New Roman" w:hAnsi="Arial" w:cs="Arial"/>
          <w:spacing w:val="-1"/>
          <w:sz w:val="24"/>
          <w:szCs w:val="24"/>
        </w:rPr>
        <w:t>q</w:t>
      </w:r>
      <w:r w:rsidRPr="005B06F5">
        <w:rPr>
          <w:rFonts w:ascii="Arial" w:eastAsia="Times New Roman" w:hAnsi="Arial" w:cs="Arial"/>
          <w:spacing w:val="1"/>
          <w:sz w:val="24"/>
          <w:szCs w:val="24"/>
        </w:rPr>
        <w:t>ue</w:t>
      </w:r>
      <w:r w:rsidRPr="005B06F5">
        <w:rPr>
          <w:rFonts w:ascii="Arial" w:eastAsia="Times New Roman" w:hAnsi="Arial" w:cs="Arial"/>
          <w:sz w:val="24"/>
          <w:szCs w:val="24"/>
        </w:rPr>
        <w:t xml:space="preserve">st for Authority </w:t>
      </w:r>
      <w:r w:rsidRPr="005B06F5">
        <w:rPr>
          <w:rFonts w:ascii="Arial" w:eastAsia="Times New Roman" w:hAnsi="Arial" w:cs="Arial"/>
          <w:sz w:val="24"/>
          <w:szCs w:val="24"/>
        </w:rPr>
        <w:tab/>
      </w:r>
      <w:r w:rsidRPr="005B06F5">
        <w:rPr>
          <w:rFonts w:ascii="Arial" w:eastAsia="Times New Roman" w:hAnsi="Arial" w:cs="Arial"/>
          <w:sz w:val="24"/>
          <w:szCs w:val="24"/>
        </w:rPr>
        <w:tab/>
        <w:t>)</w:t>
      </w:r>
    </w:p>
    <w:p w14:paraId="54AE2015"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z w:val="24"/>
          <w:szCs w:val="24"/>
        </w:rPr>
        <w:t>to Implement</w:t>
      </w:r>
      <w:r w:rsidRPr="005B06F5">
        <w:rPr>
          <w:rFonts w:ascii="Arial" w:eastAsia="Times New Roman" w:hAnsi="Arial" w:cs="Arial"/>
          <w:sz w:val="24"/>
          <w:szCs w:val="24"/>
        </w:rPr>
        <w:tab/>
        <w:t xml:space="preserve"> A General Rate Increase for Electric</w:t>
      </w:r>
      <w:r w:rsidRPr="005B06F5">
        <w:rPr>
          <w:rFonts w:ascii="Arial" w:eastAsia="Times New Roman" w:hAnsi="Arial" w:cs="Arial"/>
          <w:sz w:val="24"/>
          <w:szCs w:val="24"/>
        </w:rPr>
        <w:tab/>
        <w:t>)</w:t>
      </w:r>
      <w:r w:rsidRPr="005B06F5">
        <w:rPr>
          <w:rFonts w:ascii="Arial" w:eastAsia="Times New Roman" w:hAnsi="Arial" w:cs="Arial"/>
          <w:sz w:val="24"/>
          <w:szCs w:val="24"/>
        </w:rPr>
        <w:tab/>
      </w:r>
      <w:r w:rsidRPr="005B06F5">
        <w:rPr>
          <w:rFonts w:ascii="Arial" w:eastAsia="Times New Roman" w:hAnsi="Arial" w:cs="Arial"/>
          <w:b/>
          <w:bCs/>
          <w:sz w:val="24"/>
          <w:szCs w:val="24"/>
          <w:u w:val="thick"/>
        </w:rPr>
        <w:t>Case</w:t>
      </w:r>
      <w:r w:rsidRPr="005B06F5">
        <w:rPr>
          <w:rFonts w:ascii="Arial" w:eastAsia="Times New Roman" w:hAnsi="Arial" w:cs="Arial"/>
          <w:b/>
          <w:bCs/>
          <w:spacing w:val="1"/>
          <w:sz w:val="24"/>
          <w:szCs w:val="24"/>
          <w:u w:val="thick"/>
        </w:rPr>
        <w:t xml:space="preserve"> </w:t>
      </w:r>
      <w:r w:rsidRPr="005B06F5">
        <w:rPr>
          <w:rFonts w:ascii="Arial" w:eastAsia="Times New Roman" w:hAnsi="Arial" w:cs="Arial"/>
          <w:b/>
          <w:bCs/>
          <w:sz w:val="24"/>
          <w:szCs w:val="24"/>
          <w:u w:val="thick"/>
        </w:rPr>
        <w:t xml:space="preserve">No.  </w:t>
      </w:r>
      <w:r w:rsidRPr="005B06F5">
        <w:rPr>
          <w:rFonts w:ascii="Arial" w:eastAsia="Times New Roman" w:hAnsi="Arial" w:cs="Arial"/>
          <w:b/>
          <w:bCs/>
          <w:spacing w:val="1"/>
          <w:sz w:val="24"/>
          <w:szCs w:val="24"/>
          <w:u w:val="thick"/>
        </w:rPr>
        <w:t>E</w:t>
      </w:r>
      <w:r w:rsidRPr="005B06F5">
        <w:rPr>
          <w:rFonts w:ascii="Arial" w:eastAsia="Times New Roman" w:hAnsi="Arial" w:cs="Arial"/>
          <w:b/>
          <w:bCs/>
          <w:sz w:val="24"/>
          <w:szCs w:val="24"/>
          <w:u w:val="thick"/>
        </w:rPr>
        <w:t>R-</w:t>
      </w:r>
      <w:r w:rsidRPr="005B06F5">
        <w:rPr>
          <w:rFonts w:ascii="Arial" w:eastAsia="Times New Roman" w:hAnsi="Arial" w:cs="Arial"/>
          <w:b/>
          <w:bCs/>
          <w:spacing w:val="-1"/>
          <w:sz w:val="24"/>
          <w:szCs w:val="24"/>
          <w:u w:val="thick"/>
        </w:rPr>
        <w:t>2</w:t>
      </w:r>
      <w:r w:rsidRPr="005B06F5">
        <w:rPr>
          <w:rFonts w:ascii="Arial" w:eastAsia="Times New Roman" w:hAnsi="Arial" w:cs="Arial"/>
          <w:b/>
          <w:bCs/>
          <w:spacing w:val="1"/>
          <w:sz w:val="24"/>
          <w:szCs w:val="24"/>
          <w:u w:val="thick"/>
        </w:rPr>
        <w:t>022</w:t>
      </w:r>
      <w:r w:rsidRPr="005B06F5">
        <w:rPr>
          <w:rFonts w:ascii="Arial" w:eastAsia="Times New Roman" w:hAnsi="Arial" w:cs="Arial"/>
          <w:b/>
          <w:bCs/>
          <w:spacing w:val="-3"/>
          <w:sz w:val="24"/>
          <w:szCs w:val="24"/>
          <w:u w:val="thick"/>
        </w:rPr>
        <w:t>-0129</w:t>
      </w:r>
    </w:p>
    <w:p w14:paraId="3711A47D"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z w:val="26"/>
          <w:szCs w:val="26"/>
        </w:rPr>
        <w:t>Service</w:t>
      </w:r>
      <w:r w:rsidRPr="005B06F5">
        <w:rPr>
          <w:rFonts w:ascii="Arial" w:eastAsia="Times New Roman" w:hAnsi="Arial" w:cs="Arial"/>
          <w:sz w:val="26"/>
          <w:szCs w:val="26"/>
        </w:rPr>
        <w:tab/>
      </w:r>
      <w:r w:rsidRPr="005B06F5">
        <w:rPr>
          <w:rFonts w:ascii="Arial" w:eastAsia="Times New Roman" w:hAnsi="Arial" w:cs="Arial"/>
          <w:sz w:val="26"/>
          <w:szCs w:val="26"/>
        </w:rPr>
        <w:tab/>
      </w:r>
      <w:r w:rsidRPr="005B06F5">
        <w:rPr>
          <w:rFonts w:ascii="Arial" w:eastAsia="Times New Roman" w:hAnsi="Arial" w:cs="Arial"/>
          <w:sz w:val="26"/>
          <w:szCs w:val="26"/>
        </w:rPr>
        <w:tab/>
      </w:r>
      <w:r w:rsidRPr="005B06F5">
        <w:rPr>
          <w:rFonts w:ascii="Arial" w:eastAsia="Times New Roman" w:hAnsi="Arial" w:cs="Arial"/>
          <w:sz w:val="26"/>
          <w:szCs w:val="26"/>
        </w:rPr>
        <w:tab/>
      </w:r>
      <w:r w:rsidRPr="005B06F5">
        <w:rPr>
          <w:rFonts w:ascii="Arial" w:eastAsia="Times New Roman" w:hAnsi="Arial" w:cs="Arial"/>
          <w:sz w:val="26"/>
          <w:szCs w:val="26"/>
        </w:rPr>
        <w:tab/>
        <w:t>)</w:t>
      </w:r>
    </w:p>
    <w:p w14:paraId="3AE0279A" w14:textId="77777777" w:rsidR="005B06F5" w:rsidRPr="005B06F5" w:rsidRDefault="005B06F5" w:rsidP="00673DE0">
      <w:pPr>
        <w:autoSpaceDE w:val="0"/>
        <w:autoSpaceDN w:val="0"/>
        <w:adjustRightInd w:val="0"/>
        <w:spacing w:before="16" w:after="0" w:line="260" w:lineRule="exact"/>
        <w:jc w:val="both"/>
        <w:rPr>
          <w:rFonts w:ascii="Arial" w:eastAsia="Times New Roman" w:hAnsi="Arial" w:cs="Arial"/>
          <w:sz w:val="26"/>
          <w:szCs w:val="26"/>
        </w:rPr>
      </w:pPr>
    </w:p>
    <w:p w14:paraId="445C10C4"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z w:val="24"/>
          <w:szCs w:val="24"/>
        </w:rPr>
        <w:t>In</w:t>
      </w:r>
      <w:r w:rsidRPr="005B06F5">
        <w:rPr>
          <w:rFonts w:ascii="Arial" w:eastAsia="Times New Roman" w:hAnsi="Arial" w:cs="Arial"/>
          <w:spacing w:val="1"/>
          <w:sz w:val="24"/>
          <w:szCs w:val="24"/>
        </w:rPr>
        <w:t xml:space="preserve"> t</w:t>
      </w:r>
      <w:r w:rsidRPr="005B06F5">
        <w:rPr>
          <w:rFonts w:ascii="Arial" w:eastAsia="Times New Roman" w:hAnsi="Arial" w:cs="Arial"/>
          <w:spacing w:val="-1"/>
          <w:sz w:val="24"/>
          <w:szCs w:val="24"/>
        </w:rPr>
        <w:t>h</w:t>
      </w:r>
      <w:r w:rsidRPr="005B06F5">
        <w:rPr>
          <w:rFonts w:ascii="Arial" w:eastAsia="Times New Roman" w:hAnsi="Arial" w:cs="Arial"/>
          <w:sz w:val="24"/>
          <w:szCs w:val="24"/>
        </w:rPr>
        <w:t>e</w:t>
      </w:r>
      <w:r w:rsidRPr="005B06F5">
        <w:rPr>
          <w:rFonts w:ascii="Arial" w:eastAsia="Times New Roman" w:hAnsi="Arial" w:cs="Arial"/>
          <w:spacing w:val="1"/>
          <w:sz w:val="24"/>
          <w:szCs w:val="24"/>
        </w:rPr>
        <w:t xml:space="preserve"> </w:t>
      </w:r>
      <w:r w:rsidRPr="005B06F5">
        <w:rPr>
          <w:rFonts w:ascii="Arial" w:eastAsia="Times New Roman" w:hAnsi="Arial" w:cs="Arial"/>
          <w:sz w:val="24"/>
          <w:szCs w:val="24"/>
        </w:rPr>
        <w:t>Ma</w:t>
      </w:r>
      <w:r w:rsidRPr="005B06F5">
        <w:rPr>
          <w:rFonts w:ascii="Arial" w:eastAsia="Times New Roman" w:hAnsi="Arial" w:cs="Arial"/>
          <w:spacing w:val="-1"/>
          <w:sz w:val="24"/>
          <w:szCs w:val="24"/>
        </w:rPr>
        <w:t>t</w:t>
      </w:r>
      <w:r w:rsidRPr="005B06F5">
        <w:rPr>
          <w:rFonts w:ascii="Arial" w:eastAsia="Times New Roman" w:hAnsi="Arial" w:cs="Arial"/>
          <w:sz w:val="24"/>
          <w:szCs w:val="24"/>
        </w:rPr>
        <w:t>t</w:t>
      </w:r>
      <w:r w:rsidRPr="005B06F5">
        <w:rPr>
          <w:rFonts w:ascii="Arial" w:eastAsia="Times New Roman" w:hAnsi="Arial" w:cs="Arial"/>
          <w:spacing w:val="1"/>
          <w:sz w:val="24"/>
          <w:szCs w:val="24"/>
        </w:rPr>
        <w:t>e</w:t>
      </w:r>
      <w:r w:rsidRPr="005B06F5">
        <w:rPr>
          <w:rFonts w:ascii="Arial" w:eastAsia="Times New Roman" w:hAnsi="Arial" w:cs="Arial"/>
          <w:sz w:val="24"/>
          <w:szCs w:val="24"/>
        </w:rPr>
        <w:t xml:space="preserve">r </w:t>
      </w:r>
      <w:r w:rsidRPr="005B06F5">
        <w:rPr>
          <w:rFonts w:ascii="Arial" w:eastAsia="Times New Roman" w:hAnsi="Arial" w:cs="Arial"/>
          <w:spacing w:val="-2"/>
          <w:sz w:val="24"/>
          <w:szCs w:val="24"/>
        </w:rPr>
        <w:t>o</w:t>
      </w:r>
      <w:r w:rsidRPr="005B06F5">
        <w:rPr>
          <w:rFonts w:ascii="Arial" w:eastAsia="Times New Roman" w:hAnsi="Arial" w:cs="Arial"/>
          <w:sz w:val="24"/>
          <w:szCs w:val="24"/>
        </w:rPr>
        <w:t>f</w:t>
      </w:r>
      <w:r w:rsidRPr="005B06F5">
        <w:rPr>
          <w:rFonts w:ascii="Arial" w:eastAsia="Times New Roman" w:hAnsi="Arial" w:cs="Arial"/>
          <w:spacing w:val="1"/>
          <w:sz w:val="24"/>
          <w:szCs w:val="24"/>
        </w:rPr>
        <w:t xml:space="preserve"> Evergy Missouri West Inc. d/b/a</w:t>
      </w:r>
      <w:r w:rsidRPr="005B06F5">
        <w:rPr>
          <w:rFonts w:ascii="Arial" w:eastAsia="Times New Roman" w:hAnsi="Arial" w:cs="Arial"/>
          <w:spacing w:val="1"/>
          <w:sz w:val="24"/>
          <w:szCs w:val="24"/>
        </w:rPr>
        <w:tab/>
      </w:r>
      <w:r w:rsidRPr="005B06F5">
        <w:rPr>
          <w:rFonts w:ascii="Arial" w:eastAsia="Times New Roman" w:hAnsi="Arial" w:cs="Arial"/>
          <w:sz w:val="24"/>
          <w:szCs w:val="24"/>
        </w:rPr>
        <w:t>)</w:t>
      </w:r>
      <w:r w:rsidRPr="005B06F5">
        <w:rPr>
          <w:rFonts w:ascii="Arial" w:eastAsia="Times New Roman" w:hAnsi="Arial" w:cs="Arial"/>
          <w:sz w:val="24"/>
          <w:szCs w:val="24"/>
        </w:rPr>
        <w:tab/>
      </w:r>
    </w:p>
    <w:p w14:paraId="1AFC1688"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pacing w:val="-1"/>
          <w:sz w:val="24"/>
          <w:szCs w:val="24"/>
        </w:rPr>
        <w:t>Evergy Missouri West’s Request for Authorization to</w:t>
      </w:r>
      <w:r w:rsidRPr="005B06F5">
        <w:rPr>
          <w:rFonts w:ascii="Arial" w:eastAsia="Times New Roman" w:hAnsi="Arial" w:cs="Arial"/>
          <w:spacing w:val="-1"/>
          <w:sz w:val="24"/>
          <w:szCs w:val="24"/>
        </w:rPr>
        <w:tab/>
      </w:r>
      <w:r w:rsidRPr="005B06F5">
        <w:rPr>
          <w:rFonts w:ascii="Arial" w:eastAsia="Times New Roman" w:hAnsi="Arial" w:cs="Arial"/>
          <w:sz w:val="24"/>
          <w:szCs w:val="24"/>
        </w:rPr>
        <w:t>)</w:t>
      </w:r>
      <w:r w:rsidRPr="005B06F5">
        <w:rPr>
          <w:rFonts w:ascii="Arial" w:eastAsia="Times New Roman" w:hAnsi="Arial" w:cs="Arial"/>
          <w:sz w:val="24"/>
          <w:szCs w:val="24"/>
        </w:rPr>
        <w:tab/>
      </w:r>
      <w:r w:rsidRPr="005B06F5">
        <w:rPr>
          <w:rFonts w:ascii="Arial" w:eastAsia="Times New Roman" w:hAnsi="Arial" w:cs="Arial"/>
          <w:b/>
          <w:bCs/>
          <w:sz w:val="24"/>
          <w:szCs w:val="24"/>
          <w:u w:val="thick"/>
        </w:rPr>
        <w:t xml:space="preserve">Case No. </w:t>
      </w:r>
      <w:r w:rsidRPr="005B06F5">
        <w:rPr>
          <w:rFonts w:ascii="Arial" w:eastAsia="Times New Roman" w:hAnsi="Arial" w:cs="Arial"/>
          <w:b/>
          <w:bCs/>
          <w:spacing w:val="1"/>
          <w:sz w:val="24"/>
          <w:szCs w:val="24"/>
          <w:u w:val="thick"/>
        </w:rPr>
        <w:t>ER</w:t>
      </w:r>
      <w:r w:rsidRPr="005B06F5">
        <w:rPr>
          <w:rFonts w:ascii="Arial" w:eastAsia="Times New Roman" w:hAnsi="Arial" w:cs="Arial"/>
          <w:b/>
          <w:bCs/>
          <w:sz w:val="24"/>
          <w:szCs w:val="24"/>
          <w:u w:val="thick"/>
        </w:rPr>
        <w:t>-</w:t>
      </w:r>
      <w:r w:rsidRPr="005B06F5">
        <w:rPr>
          <w:rFonts w:ascii="Arial" w:eastAsia="Times New Roman" w:hAnsi="Arial" w:cs="Arial"/>
          <w:b/>
          <w:bCs/>
          <w:spacing w:val="-1"/>
          <w:sz w:val="24"/>
          <w:szCs w:val="24"/>
          <w:u w:val="thick"/>
        </w:rPr>
        <w:t>2</w:t>
      </w:r>
      <w:r w:rsidRPr="005B06F5">
        <w:rPr>
          <w:rFonts w:ascii="Arial" w:eastAsia="Times New Roman" w:hAnsi="Arial" w:cs="Arial"/>
          <w:b/>
          <w:bCs/>
          <w:spacing w:val="1"/>
          <w:sz w:val="24"/>
          <w:szCs w:val="24"/>
          <w:u w:val="thick"/>
        </w:rPr>
        <w:t>022</w:t>
      </w:r>
      <w:r w:rsidRPr="005B06F5">
        <w:rPr>
          <w:rFonts w:ascii="Arial" w:eastAsia="Times New Roman" w:hAnsi="Arial" w:cs="Arial"/>
          <w:b/>
          <w:bCs/>
          <w:spacing w:val="-3"/>
          <w:sz w:val="24"/>
          <w:szCs w:val="24"/>
          <w:u w:val="thick"/>
        </w:rPr>
        <w:t>-</w:t>
      </w:r>
      <w:r w:rsidRPr="005B06F5">
        <w:rPr>
          <w:rFonts w:ascii="Arial" w:eastAsia="Times New Roman" w:hAnsi="Arial" w:cs="Arial"/>
          <w:b/>
          <w:bCs/>
          <w:spacing w:val="1"/>
          <w:sz w:val="24"/>
          <w:szCs w:val="24"/>
          <w:u w:val="thick"/>
        </w:rPr>
        <w:t>0130</w:t>
      </w:r>
    </w:p>
    <w:p w14:paraId="53F92563"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z w:val="24"/>
          <w:szCs w:val="24"/>
        </w:rPr>
        <w:t>Implement A General Rate Increase for Electric</w:t>
      </w:r>
      <w:r w:rsidRPr="005B06F5">
        <w:rPr>
          <w:rFonts w:ascii="Arial" w:eastAsia="Times New Roman" w:hAnsi="Arial" w:cs="Arial"/>
          <w:sz w:val="24"/>
          <w:szCs w:val="24"/>
        </w:rPr>
        <w:tab/>
      </w:r>
      <w:r w:rsidRPr="005B06F5">
        <w:rPr>
          <w:rFonts w:ascii="Arial" w:eastAsia="Times New Roman" w:hAnsi="Arial" w:cs="Arial"/>
          <w:sz w:val="24"/>
          <w:szCs w:val="24"/>
        </w:rPr>
        <w:tab/>
        <w:t>)</w:t>
      </w:r>
      <w:r w:rsidRPr="005B06F5">
        <w:rPr>
          <w:rFonts w:ascii="Arial" w:eastAsia="Times New Roman" w:hAnsi="Arial" w:cs="Arial"/>
          <w:b/>
          <w:bCs/>
          <w:sz w:val="24"/>
          <w:szCs w:val="24"/>
          <w:u w:val="thick"/>
        </w:rPr>
        <w:t xml:space="preserve"> </w:t>
      </w:r>
    </w:p>
    <w:p w14:paraId="181C39D5" w14:textId="77777777" w:rsidR="005B06F5" w:rsidRPr="005B06F5" w:rsidRDefault="005B06F5" w:rsidP="00673DE0">
      <w:pPr>
        <w:autoSpaceDE w:val="0"/>
        <w:autoSpaceDN w:val="0"/>
        <w:adjustRightInd w:val="0"/>
        <w:spacing w:after="0" w:line="240" w:lineRule="auto"/>
        <w:ind w:right="-20"/>
        <w:jc w:val="both"/>
        <w:rPr>
          <w:rFonts w:ascii="Arial" w:eastAsia="Times New Roman" w:hAnsi="Arial" w:cs="Arial"/>
          <w:sz w:val="24"/>
          <w:szCs w:val="24"/>
        </w:rPr>
      </w:pPr>
      <w:r w:rsidRPr="005B06F5">
        <w:rPr>
          <w:rFonts w:ascii="Arial" w:eastAsia="Times New Roman" w:hAnsi="Arial" w:cs="Arial"/>
          <w:sz w:val="24"/>
          <w:szCs w:val="24"/>
        </w:rPr>
        <w:t>Service</w:t>
      </w:r>
      <w:r w:rsidRPr="005B06F5">
        <w:rPr>
          <w:rFonts w:ascii="Arial" w:eastAsia="Times New Roman" w:hAnsi="Arial" w:cs="Arial"/>
          <w:sz w:val="24"/>
          <w:szCs w:val="24"/>
        </w:rPr>
        <w:tab/>
      </w:r>
      <w:r w:rsidRPr="005B06F5">
        <w:rPr>
          <w:rFonts w:ascii="Arial" w:eastAsia="Times New Roman" w:hAnsi="Arial" w:cs="Arial"/>
          <w:sz w:val="24"/>
          <w:szCs w:val="24"/>
        </w:rPr>
        <w:tab/>
      </w:r>
      <w:r w:rsidRPr="005B06F5">
        <w:rPr>
          <w:rFonts w:ascii="Arial" w:eastAsia="Times New Roman" w:hAnsi="Arial" w:cs="Arial"/>
          <w:sz w:val="24"/>
          <w:szCs w:val="24"/>
        </w:rPr>
        <w:tab/>
      </w:r>
      <w:r w:rsidRPr="005B06F5">
        <w:rPr>
          <w:rFonts w:ascii="Arial" w:eastAsia="Times New Roman" w:hAnsi="Arial" w:cs="Arial"/>
          <w:sz w:val="24"/>
          <w:szCs w:val="24"/>
        </w:rPr>
        <w:tab/>
      </w:r>
      <w:r w:rsidRPr="005B06F5">
        <w:rPr>
          <w:rFonts w:ascii="Arial" w:eastAsia="Times New Roman" w:hAnsi="Arial" w:cs="Arial"/>
          <w:sz w:val="24"/>
          <w:szCs w:val="24"/>
        </w:rPr>
        <w:tab/>
      </w:r>
      <w:r w:rsidRPr="005B06F5">
        <w:rPr>
          <w:rFonts w:ascii="Arial" w:eastAsia="Times New Roman" w:hAnsi="Arial" w:cs="Arial"/>
          <w:sz w:val="24"/>
          <w:szCs w:val="24"/>
        </w:rPr>
        <w:tab/>
      </w:r>
      <w:r w:rsidRPr="005B06F5">
        <w:rPr>
          <w:rFonts w:ascii="Arial" w:eastAsia="Times New Roman" w:hAnsi="Arial" w:cs="Arial"/>
          <w:sz w:val="24"/>
          <w:szCs w:val="24"/>
        </w:rPr>
        <w:tab/>
        <w:t>)</w:t>
      </w:r>
    </w:p>
    <w:p w14:paraId="0DE36551" w14:textId="77777777" w:rsidR="005B06F5" w:rsidRPr="005B06F5" w:rsidRDefault="005B06F5" w:rsidP="00673DE0">
      <w:pPr>
        <w:autoSpaceDE w:val="0"/>
        <w:autoSpaceDN w:val="0"/>
        <w:adjustRightInd w:val="0"/>
        <w:spacing w:after="0" w:line="240" w:lineRule="auto"/>
        <w:jc w:val="both"/>
        <w:rPr>
          <w:rFonts w:ascii="Arial" w:eastAsia="Times New Roman" w:hAnsi="Arial" w:cs="Arial"/>
          <w:b/>
          <w:bCs/>
          <w:caps/>
          <w:color w:val="000000"/>
          <w:sz w:val="24"/>
          <w:szCs w:val="24"/>
          <w:u w:val="single"/>
        </w:rPr>
      </w:pPr>
    </w:p>
    <w:p w14:paraId="67B28C18" w14:textId="77777777" w:rsidR="002859D3" w:rsidRPr="002859D3" w:rsidRDefault="002859D3" w:rsidP="00673DE0">
      <w:pPr>
        <w:widowControl w:val="0"/>
        <w:kinsoku w:val="0"/>
        <w:spacing w:after="0" w:line="240" w:lineRule="auto"/>
        <w:jc w:val="both"/>
        <w:rPr>
          <w:rFonts w:ascii="Arial" w:eastAsia="Times New Roman" w:hAnsi="Arial" w:cs="Arial"/>
          <w:b/>
          <w:bCs/>
          <w:spacing w:val="-7"/>
          <w:w w:val="105"/>
          <w:sz w:val="24"/>
          <w:szCs w:val="24"/>
        </w:rPr>
      </w:pPr>
    </w:p>
    <w:p w14:paraId="47B57359" w14:textId="45DAD9B6" w:rsidR="002859D3" w:rsidRPr="002859D3" w:rsidRDefault="002859D3" w:rsidP="00673DE0">
      <w:pPr>
        <w:widowControl w:val="0"/>
        <w:kinsoku w:val="0"/>
        <w:spacing w:after="0" w:line="240" w:lineRule="auto"/>
        <w:jc w:val="center"/>
        <w:rPr>
          <w:rFonts w:ascii="Arial" w:eastAsia="Times New Roman" w:hAnsi="Arial" w:cs="Arial"/>
          <w:b/>
          <w:bCs/>
          <w:spacing w:val="-7"/>
          <w:w w:val="105"/>
          <w:sz w:val="24"/>
          <w:szCs w:val="24"/>
          <w:u w:val="single"/>
        </w:rPr>
      </w:pPr>
      <w:r w:rsidRPr="002859D3">
        <w:rPr>
          <w:rFonts w:ascii="Arial" w:eastAsia="Times New Roman" w:hAnsi="Arial" w:cs="Arial"/>
          <w:b/>
          <w:bCs/>
          <w:spacing w:val="-7"/>
          <w:w w:val="105"/>
          <w:sz w:val="24"/>
          <w:szCs w:val="24"/>
          <w:u w:val="single"/>
        </w:rPr>
        <w:t>LIST OF ISSUES</w:t>
      </w:r>
      <w:r w:rsidR="00C12115">
        <w:rPr>
          <w:rFonts w:ascii="Arial" w:eastAsia="Times New Roman" w:hAnsi="Arial" w:cs="Arial"/>
          <w:b/>
          <w:bCs/>
          <w:spacing w:val="-7"/>
          <w:w w:val="105"/>
          <w:sz w:val="24"/>
          <w:szCs w:val="24"/>
          <w:u w:val="single"/>
        </w:rPr>
        <w:t xml:space="preserve">, ORDER OF WITNESSES, ORDER OF </w:t>
      </w:r>
      <w:bookmarkStart w:id="0" w:name="_GoBack"/>
      <w:bookmarkEnd w:id="0"/>
      <w:r w:rsidRPr="002859D3">
        <w:rPr>
          <w:rFonts w:ascii="Arial" w:eastAsia="Times New Roman" w:hAnsi="Arial" w:cs="Arial"/>
          <w:b/>
          <w:bCs/>
          <w:spacing w:val="-7"/>
          <w:w w:val="105"/>
          <w:sz w:val="24"/>
          <w:szCs w:val="24"/>
          <w:u w:val="single"/>
        </w:rPr>
        <w:t>CROSS-EXAMINATION AND ORDER OF OPENING STATEMENTS</w:t>
      </w:r>
    </w:p>
    <w:p w14:paraId="1716F620" w14:textId="77777777" w:rsidR="002859D3" w:rsidRPr="002859D3" w:rsidRDefault="002859D3" w:rsidP="00673DE0">
      <w:pPr>
        <w:widowControl w:val="0"/>
        <w:kinsoku w:val="0"/>
        <w:spacing w:after="0" w:line="240" w:lineRule="auto"/>
        <w:jc w:val="both"/>
        <w:rPr>
          <w:rFonts w:ascii="Arial" w:eastAsia="Times New Roman" w:hAnsi="Arial" w:cs="Arial"/>
          <w:b/>
          <w:bCs/>
          <w:spacing w:val="-7"/>
          <w:w w:val="105"/>
          <w:sz w:val="24"/>
          <w:szCs w:val="24"/>
          <w:u w:val="single"/>
        </w:rPr>
      </w:pPr>
    </w:p>
    <w:p w14:paraId="66ECE677" w14:textId="77777777" w:rsidR="002859D3" w:rsidRPr="002859D3" w:rsidRDefault="002859D3" w:rsidP="00673DE0">
      <w:pPr>
        <w:widowControl w:val="0"/>
        <w:kinsoku w:val="0"/>
        <w:spacing w:after="0" w:line="480" w:lineRule="auto"/>
        <w:ind w:firstLine="720"/>
        <w:jc w:val="both"/>
        <w:rPr>
          <w:rFonts w:ascii="Arial" w:eastAsia="Times New Roman" w:hAnsi="Arial" w:cs="Arial"/>
          <w:spacing w:val="-5"/>
          <w:w w:val="105"/>
          <w:sz w:val="24"/>
          <w:szCs w:val="24"/>
        </w:rPr>
      </w:pPr>
      <w:r w:rsidRPr="002859D3">
        <w:rPr>
          <w:rFonts w:ascii="Arial" w:eastAsia="Times New Roman" w:hAnsi="Arial" w:cs="Arial"/>
          <w:b/>
          <w:bCs/>
          <w:spacing w:val="-5"/>
          <w:w w:val="105"/>
          <w:sz w:val="24"/>
          <w:szCs w:val="24"/>
        </w:rPr>
        <w:t>COMES NOW</w:t>
      </w:r>
      <w:r w:rsidRPr="002859D3">
        <w:rPr>
          <w:rFonts w:ascii="Arial" w:eastAsia="Times New Roman" w:hAnsi="Arial" w:cs="Arial"/>
          <w:spacing w:val="-5"/>
          <w:w w:val="105"/>
          <w:sz w:val="24"/>
          <w:szCs w:val="24"/>
        </w:rPr>
        <w:t xml:space="preserve"> the Staff of the Missouri Public Service Commission (“Staff”) </w:t>
      </w:r>
      <w:r w:rsidRPr="002859D3">
        <w:rPr>
          <w:rFonts w:ascii="Arial" w:eastAsia="Times New Roman" w:hAnsi="Arial" w:cs="Arial"/>
          <w:spacing w:val="-5"/>
          <w:w w:val="105"/>
          <w:sz w:val="24"/>
          <w:szCs w:val="24"/>
        </w:rPr>
        <w:br/>
        <w:t>and states:</w:t>
      </w:r>
    </w:p>
    <w:p w14:paraId="29524FF4" w14:textId="77777777" w:rsidR="002859D3" w:rsidRPr="002859D3" w:rsidRDefault="002859D3" w:rsidP="00673DE0">
      <w:pPr>
        <w:widowControl w:val="0"/>
        <w:kinsoku w:val="0"/>
        <w:spacing w:after="0" w:line="480" w:lineRule="auto"/>
        <w:ind w:firstLine="720"/>
        <w:jc w:val="both"/>
        <w:rPr>
          <w:rFonts w:ascii="Arial" w:eastAsia="Times New Roman" w:hAnsi="Arial" w:cs="Arial"/>
          <w:sz w:val="24"/>
          <w:szCs w:val="24"/>
        </w:rPr>
      </w:pPr>
      <w:r w:rsidRPr="002859D3">
        <w:rPr>
          <w:rFonts w:ascii="Arial" w:eastAsia="Times New Roman" w:hAnsi="Arial" w:cs="Arial"/>
          <w:w w:val="105"/>
          <w:sz w:val="24"/>
          <w:szCs w:val="24"/>
        </w:rPr>
        <w:t xml:space="preserve">In preparing this list of issues </w:t>
      </w:r>
      <w:r w:rsidRPr="002859D3">
        <w:rPr>
          <w:rFonts w:ascii="Arial" w:eastAsia="Times New Roman" w:hAnsi="Arial" w:cs="Arial"/>
          <w:spacing w:val="-4"/>
          <w:w w:val="105"/>
          <w:sz w:val="24"/>
          <w:szCs w:val="24"/>
        </w:rPr>
        <w:t xml:space="preserve">Staff has solicited input from the parties, attempted to list all the issues, and attempted to obtain consensus on the descriptions of the issues. This is Staff’s best effort to list and describe all the issues in this case.  To the extent errors in issues or listed witnesses are discovered, the Commission will be advised as soon as possible. </w:t>
      </w:r>
      <w:r w:rsidRPr="002859D3">
        <w:rPr>
          <w:rFonts w:ascii="Arial" w:eastAsia="Times New Roman" w:hAnsi="Arial" w:cs="Arial"/>
          <w:sz w:val="24"/>
          <w:szCs w:val="24"/>
        </w:rPr>
        <w:t>All parties do not agree that the issues listed herein are actually issues in this case. In order to prevent the need for filing multiple lists of issues, the parties have agreed to include all issues whether agreed to by opposing parties.</w:t>
      </w:r>
    </w:p>
    <w:p w14:paraId="763B0673" w14:textId="1A466F3D" w:rsidR="002859D3" w:rsidRDefault="002859D3" w:rsidP="00673DE0">
      <w:pPr>
        <w:widowControl w:val="0"/>
        <w:kinsoku w:val="0"/>
        <w:spacing w:after="0" w:line="480" w:lineRule="auto"/>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The parties for Case No. ER-</w:t>
      </w:r>
      <w:r w:rsidR="00F03DA1">
        <w:rPr>
          <w:rFonts w:ascii="Arial" w:eastAsia="Times New Roman" w:hAnsi="Arial" w:cs="Arial"/>
          <w:spacing w:val="-4"/>
          <w:w w:val="105"/>
          <w:sz w:val="24"/>
          <w:szCs w:val="24"/>
        </w:rPr>
        <w:t>2022-0129</w:t>
      </w:r>
      <w:r w:rsidRPr="002859D3">
        <w:rPr>
          <w:rFonts w:ascii="Arial" w:eastAsia="Times New Roman" w:hAnsi="Arial" w:cs="Arial"/>
          <w:spacing w:val="-4"/>
          <w:w w:val="105"/>
          <w:sz w:val="24"/>
          <w:szCs w:val="24"/>
        </w:rPr>
        <w:t xml:space="preserve"> are:</w:t>
      </w:r>
    </w:p>
    <w:p w14:paraId="167ECE37" w14:textId="375C5D5E" w:rsidR="00F03DA1" w:rsidRPr="002859D3" w:rsidRDefault="00F03DA1"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Charge</w:t>
      </w:r>
      <w:r w:rsidR="00152D5A">
        <w:rPr>
          <w:rFonts w:ascii="Arial" w:eastAsia="Times New Roman" w:hAnsi="Arial" w:cs="Arial"/>
          <w:spacing w:val="-4"/>
          <w:w w:val="105"/>
          <w:sz w:val="24"/>
          <w:szCs w:val="24"/>
        </w:rPr>
        <w:t>Point</w:t>
      </w:r>
      <w:r w:rsidR="0063638D">
        <w:rPr>
          <w:rFonts w:ascii="Arial" w:eastAsia="Times New Roman" w:hAnsi="Arial" w:cs="Arial"/>
          <w:spacing w:val="-4"/>
          <w:w w:val="105"/>
          <w:sz w:val="24"/>
          <w:szCs w:val="24"/>
        </w:rPr>
        <w:t>-</w:t>
      </w:r>
      <w:r w:rsidR="00230278">
        <w:rPr>
          <w:rFonts w:ascii="Arial" w:eastAsia="Times New Roman" w:hAnsi="Arial" w:cs="Arial"/>
          <w:spacing w:val="-4"/>
          <w:w w:val="105"/>
          <w:sz w:val="24"/>
          <w:szCs w:val="24"/>
        </w:rPr>
        <w:t>-</w:t>
      </w:r>
      <w:r w:rsidR="0063638D">
        <w:rPr>
          <w:rFonts w:ascii="Arial" w:eastAsia="Times New Roman" w:hAnsi="Arial" w:cs="Arial"/>
          <w:spacing w:val="-4"/>
          <w:w w:val="105"/>
          <w:sz w:val="24"/>
          <w:szCs w:val="24"/>
        </w:rPr>
        <w:t>ChargePoint</w:t>
      </w:r>
      <w:r w:rsidR="00152D5A">
        <w:rPr>
          <w:rFonts w:ascii="Arial" w:eastAsia="Times New Roman" w:hAnsi="Arial" w:cs="Arial"/>
          <w:spacing w:val="-4"/>
          <w:w w:val="105"/>
          <w:sz w:val="24"/>
          <w:szCs w:val="24"/>
        </w:rPr>
        <w:t>, Inc.</w:t>
      </w:r>
    </w:p>
    <w:p w14:paraId="04888FFE" w14:textId="527D9223" w:rsidR="00152D5A" w:rsidRPr="002859D3" w:rsidRDefault="00152D5A"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Google-</w:t>
      </w:r>
      <w:r w:rsidR="00230278">
        <w:rPr>
          <w:rFonts w:ascii="Arial" w:eastAsia="Times New Roman" w:hAnsi="Arial" w:cs="Arial"/>
          <w:spacing w:val="-4"/>
          <w:w w:val="105"/>
          <w:sz w:val="24"/>
          <w:szCs w:val="24"/>
        </w:rPr>
        <w:t>-</w:t>
      </w:r>
      <w:r>
        <w:rPr>
          <w:rFonts w:ascii="Arial" w:eastAsia="Times New Roman" w:hAnsi="Arial" w:cs="Arial"/>
          <w:spacing w:val="-4"/>
          <w:w w:val="105"/>
          <w:sz w:val="24"/>
          <w:szCs w:val="24"/>
        </w:rPr>
        <w:t>Google, LLC</w:t>
      </w:r>
    </w:p>
    <w:p w14:paraId="549E6961" w14:textId="392E1D6A" w:rsidR="002859D3" w:rsidRPr="002859D3" w:rsidRDefault="0063638D"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Metro</w:t>
      </w:r>
      <w:r w:rsidR="002B0E2B">
        <w:rPr>
          <w:rFonts w:ascii="Arial" w:eastAsia="Times New Roman" w:hAnsi="Arial" w:cs="Arial"/>
          <w:spacing w:val="-4"/>
          <w:w w:val="105"/>
          <w:sz w:val="24"/>
          <w:szCs w:val="24"/>
        </w:rPr>
        <w:t>/EMM</w:t>
      </w:r>
      <w:r w:rsidR="002859D3" w:rsidRPr="002859D3">
        <w:rPr>
          <w:rFonts w:ascii="Arial" w:eastAsia="Times New Roman" w:hAnsi="Arial" w:cs="Arial"/>
          <w:spacing w:val="-4"/>
          <w:w w:val="105"/>
          <w:sz w:val="24"/>
          <w:szCs w:val="24"/>
        </w:rPr>
        <w:t>—</w:t>
      </w:r>
      <w:r>
        <w:rPr>
          <w:rFonts w:ascii="Arial" w:eastAsia="Times New Roman" w:hAnsi="Arial" w:cs="Arial"/>
          <w:spacing w:val="-4"/>
          <w:w w:val="105"/>
          <w:sz w:val="24"/>
          <w:szCs w:val="24"/>
        </w:rPr>
        <w:t>E</w:t>
      </w:r>
      <w:r w:rsidR="00152D5A">
        <w:rPr>
          <w:rFonts w:ascii="Arial" w:eastAsia="Times New Roman" w:hAnsi="Arial" w:cs="Arial"/>
          <w:spacing w:val="-4"/>
          <w:w w:val="105"/>
          <w:sz w:val="24"/>
          <w:szCs w:val="24"/>
        </w:rPr>
        <w:t xml:space="preserve">vergy </w:t>
      </w:r>
      <w:r>
        <w:rPr>
          <w:rFonts w:ascii="Arial" w:eastAsia="Times New Roman" w:hAnsi="Arial" w:cs="Arial"/>
          <w:spacing w:val="-4"/>
          <w:w w:val="105"/>
          <w:sz w:val="24"/>
          <w:szCs w:val="24"/>
        </w:rPr>
        <w:t>Metro</w:t>
      </w:r>
      <w:r w:rsidR="00152D5A">
        <w:rPr>
          <w:rFonts w:ascii="Arial" w:eastAsia="Times New Roman" w:hAnsi="Arial" w:cs="Arial"/>
          <w:spacing w:val="-4"/>
          <w:w w:val="105"/>
          <w:sz w:val="24"/>
          <w:szCs w:val="24"/>
        </w:rPr>
        <w:t xml:space="preserve"> Inc., d/b/a Evergy Missouri Metro</w:t>
      </w:r>
      <w:r w:rsidR="0070317B">
        <w:rPr>
          <w:rFonts w:ascii="Arial" w:eastAsia="Times New Roman" w:hAnsi="Arial" w:cs="Arial"/>
          <w:spacing w:val="-4"/>
          <w:w w:val="105"/>
          <w:sz w:val="24"/>
          <w:szCs w:val="24"/>
        </w:rPr>
        <w:t>*</w:t>
      </w:r>
    </w:p>
    <w:p w14:paraId="5C3D9317" w14:textId="77777777" w:rsidR="002859D3" w:rsidRPr="002859D3" w:rsidRDefault="002859D3"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MECG—Midwest Energy Consumers Group</w:t>
      </w:r>
    </w:p>
    <w:p w14:paraId="6CF5F681" w14:textId="5CBC9833" w:rsidR="002859D3" w:rsidRPr="002859D3" w:rsidRDefault="002859D3"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MIEC—Missouri Industrial Energy Consumers</w:t>
      </w:r>
    </w:p>
    <w:p w14:paraId="32FE91CC" w14:textId="77777777" w:rsidR="002859D3" w:rsidRPr="002859D3" w:rsidRDefault="002859D3"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OPC—The Office of the Public Counsel</w:t>
      </w:r>
    </w:p>
    <w:p w14:paraId="6B2C1E57" w14:textId="5F7C3889" w:rsidR="002859D3" w:rsidRDefault="002859D3"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Renew Missouri</w:t>
      </w:r>
    </w:p>
    <w:p w14:paraId="3B91D781" w14:textId="4A171E23" w:rsidR="00152D5A" w:rsidRPr="002859D3" w:rsidRDefault="00152D5A"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lastRenderedPageBreak/>
        <w:t>Sierra Club</w:t>
      </w:r>
    </w:p>
    <w:p w14:paraId="7C754D1E" w14:textId="7460DBBE" w:rsidR="00152D5A" w:rsidRPr="002859D3" w:rsidRDefault="002859D3"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Staff</w:t>
      </w:r>
    </w:p>
    <w:p w14:paraId="69FA52F1" w14:textId="77777777" w:rsidR="002859D3" w:rsidRPr="002859D3" w:rsidRDefault="002859D3" w:rsidP="00673DE0">
      <w:pPr>
        <w:widowControl w:val="0"/>
        <w:kinsoku w:val="0"/>
        <w:spacing w:after="0" w:line="240" w:lineRule="auto"/>
        <w:ind w:left="720"/>
        <w:jc w:val="both"/>
        <w:rPr>
          <w:rFonts w:ascii="Arial" w:eastAsia="Times New Roman" w:hAnsi="Arial" w:cs="Arial"/>
          <w:spacing w:val="-4"/>
          <w:w w:val="105"/>
          <w:sz w:val="24"/>
          <w:szCs w:val="24"/>
        </w:rPr>
      </w:pPr>
    </w:p>
    <w:p w14:paraId="434CDEB0" w14:textId="1FB05E5D" w:rsidR="002859D3" w:rsidRPr="002859D3" w:rsidRDefault="002859D3" w:rsidP="00673DE0">
      <w:pPr>
        <w:widowControl w:val="0"/>
        <w:kinsoku w:val="0"/>
        <w:spacing w:after="0" w:line="480" w:lineRule="auto"/>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The parties for Case No. ER-</w:t>
      </w:r>
      <w:r w:rsidR="00152D5A">
        <w:rPr>
          <w:rFonts w:ascii="Arial" w:eastAsia="Times New Roman" w:hAnsi="Arial" w:cs="Arial"/>
          <w:spacing w:val="-4"/>
          <w:w w:val="105"/>
          <w:sz w:val="24"/>
          <w:szCs w:val="24"/>
        </w:rPr>
        <w:t>2022-0130</w:t>
      </w:r>
      <w:r w:rsidRPr="002859D3">
        <w:rPr>
          <w:rFonts w:ascii="Arial" w:eastAsia="Times New Roman" w:hAnsi="Arial" w:cs="Arial"/>
          <w:spacing w:val="-4"/>
          <w:w w:val="105"/>
          <w:sz w:val="24"/>
          <w:szCs w:val="24"/>
        </w:rPr>
        <w:t xml:space="preserve"> are:</w:t>
      </w:r>
    </w:p>
    <w:p w14:paraId="4216A967" w14:textId="5218E066" w:rsidR="00230278"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ChargePoint--ChargePoint, Inc.</w:t>
      </w:r>
    </w:p>
    <w:p w14:paraId="1F65799B" w14:textId="4D1EB2C6" w:rsidR="00230278" w:rsidRPr="002859D3"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Dogwood--</w:t>
      </w:r>
      <w:r w:rsidRPr="002859D3">
        <w:rPr>
          <w:rFonts w:ascii="Arial" w:eastAsia="Times New Roman" w:hAnsi="Arial" w:cs="Arial"/>
          <w:spacing w:val="-4"/>
          <w:w w:val="105"/>
          <w:sz w:val="24"/>
          <w:szCs w:val="24"/>
        </w:rPr>
        <w:t>Dogwood Energy, LLC</w:t>
      </w:r>
    </w:p>
    <w:p w14:paraId="669DD8A6" w14:textId="49C5D22E" w:rsidR="00230278" w:rsidRPr="002859D3"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Google--Google, LLC</w:t>
      </w:r>
    </w:p>
    <w:p w14:paraId="508D33A4" w14:textId="1D6DA546" w:rsidR="00230278" w:rsidRPr="002859D3" w:rsidRDefault="0070317B"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West</w:t>
      </w:r>
      <w:r w:rsidR="002B0E2B">
        <w:rPr>
          <w:rFonts w:ascii="Arial" w:eastAsia="Times New Roman" w:hAnsi="Arial" w:cs="Arial"/>
          <w:spacing w:val="-4"/>
          <w:w w:val="105"/>
          <w:sz w:val="24"/>
          <w:szCs w:val="24"/>
        </w:rPr>
        <w:t>/EMW</w:t>
      </w:r>
      <w:r w:rsidR="00230278" w:rsidRPr="002859D3">
        <w:rPr>
          <w:rFonts w:ascii="Arial" w:eastAsia="Times New Roman" w:hAnsi="Arial" w:cs="Arial"/>
          <w:spacing w:val="-4"/>
          <w:w w:val="105"/>
          <w:sz w:val="24"/>
          <w:szCs w:val="24"/>
        </w:rPr>
        <w:t>—</w:t>
      </w:r>
      <w:r w:rsidR="00230278">
        <w:rPr>
          <w:rFonts w:ascii="Arial" w:eastAsia="Times New Roman" w:hAnsi="Arial" w:cs="Arial"/>
          <w:spacing w:val="-4"/>
          <w:w w:val="105"/>
          <w:sz w:val="24"/>
          <w:szCs w:val="24"/>
        </w:rPr>
        <w:t xml:space="preserve">Evergy </w:t>
      </w:r>
      <w:r>
        <w:rPr>
          <w:rFonts w:ascii="Arial" w:eastAsia="Times New Roman" w:hAnsi="Arial" w:cs="Arial"/>
          <w:spacing w:val="-4"/>
          <w:w w:val="105"/>
          <w:sz w:val="24"/>
          <w:szCs w:val="24"/>
        </w:rPr>
        <w:t>West</w:t>
      </w:r>
      <w:r w:rsidR="00230278">
        <w:rPr>
          <w:rFonts w:ascii="Arial" w:eastAsia="Times New Roman" w:hAnsi="Arial" w:cs="Arial"/>
          <w:spacing w:val="-4"/>
          <w:w w:val="105"/>
          <w:sz w:val="24"/>
          <w:szCs w:val="24"/>
        </w:rPr>
        <w:t xml:space="preserve"> Inc., d/b/a Evergy Missouri </w:t>
      </w:r>
      <w:r>
        <w:rPr>
          <w:rFonts w:ascii="Arial" w:eastAsia="Times New Roman" w:hAnsi="Arial" w:cs="Arial"/>
          <w:spacing w:val="-4"/>
          <w:w w:val="105"/>
          <w:sz w:val="24"/>
          <w:szCs w:val="24"/>
        </w:rPr>
        <w:t>West*</w:t>
      </w:r>
    </w:p>
    <w:p w14:paraId="54030487" w14:textId="77777777" w:rsidR="00230278" w:rsidRPr="002859D3"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MECG—Midwest Energy Consumers Group</w:t>
      </w:r>
    </w:p>
    <w:p w14:paraId="12D182BE" w14:textId="70394643" w:rsidR="00230278"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MIEC—Missouri Industrial Energy Consumers</w:t>
      </w:r>
    </w:p>
    <w:p w14:paraId="60496AC1" w14:textId="78C60BE7" w:rsidR="00230278" w:rsidRPr="002859D3"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Nucor—Nucor Steel Sedalia, LLC</w:t>
      </w:r>
    </w:p>
    <w:p w14:paraId="0A916262" w14:textId="77777777" w:rsidR="00230278" w:rsidRPr="002859D3"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OPC—The Office of the Public Counsel</w:t>
      </w:r>
    </w:p>
    <w:p w14:paraId="0677F54A" w14:textId="77777777" w:rsidR="00230278"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Renew Missouri</w:t>
      </w:r>
    </w:p>
    <w:p w14:paraId="4309C763" w14:textId="55162F6B" w:rsidR="00230278"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Sierra Club</w:t>
      </w:r>
    </w:p>
    <w:p w14:paraId="4F25F6D5" w14:textId="6BB6B1AC" w:rsidR="00230278"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sidRPr="002859D3">
        <w:rPr>
          <w:rFonts w:ascii="Arial" w:eastAsia="Times New Roman" w:hAnsi="Arial" w:cs="Arial"/>
          <w:spacing w:val="-4"/>
          <w:w w:val="105"/>
          <w:sz w:val="24"/>
          <w:szCs w:val="24"/>
        </w:rPr>
        <w:t>Staff</w:t>
      </w:r>
    </w:p>
    <w:p w14:paraId="051706FE" w14:textId="5C47B7F3" w:rsidR="00230278" w:rsidRDefault="00230278" w:rsidP="00673DE0">
      <w:pPr>
        <w:widowControl w:val="0"/>
        <w:kinsoku w:val="0"/>
        <w:spacing w:after="0" w:line="240" w:lineRule="auto"/>
        <w:ind w:left="720"/>
        <w:jc w:val="both"/>
        <w:rPr>
          <w:rFonts w:ascii="Arial" w:eastAsia="Times New Roman" w:hAnsi="Arial" w:cs="Arial"/>
          <w:spacing w:val="-4"/>
          <w:w w:val="105"/>
          <w:sz w:val="24"/>
          <w:szCs w:val="24"/>
        </w:rPr>
      </w:pPr>
      <w:r w:rsidRPr="00230278">
        <w:rPr>
          <w:rFonts w:ascii="Arial" w:eastAsia="Times New Roman" w:hAnsi="Arial" w:cs="Arial"/>
          <w:spacing w:val="-4"/>
          <w:w w:val="105"/>
          <w:sz w:val="24"/>
          <w:szCs w:val="24"/>
        </w:rPr>
        <w:t>St. Joseph-</w:t>
      </w:r>
      <w:r>
        <w:rPr>
          <w:rFonts w:ascii="Arial" w:eastAsia="Times New Roman" w:hAnsi="Arial" w:cs="Arial"/>
          <w:spacing w:val="-4"/>
          <w:w w:val="105"/>
          <w:sz w:val="24"/>
          <w:szCs w:val="24"/>
        </w:rPr>
        <w:t>-</w:t>
      </w:r>
      <w:r w:rsidRPr="00230278">
        <w:rPr>
          <w:rFonts w:ascii="Arial" w:eastAsia="Times New Roman" w:hAnsi="Arial" w:cs="Arial"/>
          <w:spacing w:val="-4"/>
          <w:w w:val="105"/>
          <w:sz w:val="24"/>
          <w:szCs w:val="24"/>
        </w:rPr>
        <w:t>City of St. Joseph, Missouri</w:t>
      </w:r>
    </w:p>
    <w:p w14:paraId="664B2CA4" w14:textId="39E20865" w:rsidR="00973C30" w:rsidRPr="0070317B" w:rsidRDefault="00230278" w:rsidP="00673DE0">
      <w:pPr>
        <w:widowControl w:val="0"/>
        <w:kinsoku w:val="0"/>
        <w:spacing w:line="240" w:lineRule="auto"/>
        <w:ind w:left="720"/>
        <w:jc w:val="both"/>
        <w:rPr>
          <w:rFonts w:ascii="Arial" w:eastAsia="Times New Roman" w:hAnsi="Arial" w:cs="Arial"/>
          <w:spacing w:val="-4"/>
          <w:w w:val="105"/>
          <w:sz w:val="24"/>
          <w:szCs w:val="24"/>
        </w:rPr>
      </w:pPr>
      <w:r>
        <w:rPr>
          <w:rFonts w:ascii="Arial" w:eastAsia="Times New Roman" w:hAnsi="Arial" w:cs="Arial"/>
          <w:spacing w:val="-4"/>
          <w:w w:val="105"/>
          <w:sz w:val="24"/>
          <w:szCs w:val="24"/>
        </w:rPr>
        <w:t>Velvet Tech-Velvet Tech Services, LLC</w:t>
      </w:r>
    </w:p>
    <w:p w14:paraId="1AA121AB" w14:textId="215B23FB" w:rsidR="0070317B" w:rsidRDefault="0070317B" w:rsidP="00673DE0">
      <w:pPr>
        <w:jc w:val="both"/>
        <w:rPr>
          <w:rFonts w:ascii="Arial" w:hAnsi="Arial" w:cs="Arial"/>
          <w:sz w:val="24"/>
          <w:szCs w:val="24"/>
        </w:rPr>
      </w:pPr>
      <w:r>
        <w:rPr>
          <w:rFonts w:ascii="Arial" w:hAnsi="Arial" w:cs="Arial"/>
          <w:sz w:val="24"/>
          <w:szCs w:val="24"/>
        </w:rPr>
        <w:t>*Evergy West and Evergy Metro shall collectively be referred to as Evergy.</w:t>
      </w:r>
    </w:p>
    <w:p w14:paraId="070C1588" w14:textId="5EE64051" w:rsidR="00361ECE" w:rsidRPr="00BF2C4D" w:rsidRDefault="00361ECE" w:rsidP="00673DE0">
      <w:pPr>
        <w:spacing w:after="120"/>
        <w:jc w:val="center"/>
        <w:rPr>
          <w:rFonts w:ascii="Arial" w:hAnsi="Arial" w:cs="Arial"/>
          <w:b/>
          <w:spacing w:val="-4"/>
          <w:w w:val="105"/>
          <w:sz w:val="28"/>
          <w:szCs w:val="28"/>
          <w:u w:val="single"/>
        </w:rPr>
      </w:pPr>
      <w:r w:rsidRPr="00361ECE">
        <w:rPr>
          <w:rFonts w:ascii="Arial" w:hAnsi="Arial" w:cs="Arial"/>
          <w:b/>
          <w:spacing w:val="-4"/>
          <w:w w:val="105"/>
          <w:sz w:val="28"/>
          <w:szCs w:val="28"/>
          <w:u w:val="single"/>
        </w:rPr>
        <w:t>LIST OF ISSUES</w:t>
      </w:r>
    </w:p>
    <w:p w14:paraId="69BFFC90" w14:textId="77777777" w:rsidR="00361ECE" w:rsidRDefault="00361ECE" w:rsidP="00673DE0">
      <w:pPr>
        <w:pStyle w:val="Heading1"/>
        <w:jc w:val="both"/>
        <w:rPr>
          <w:rFonts w:cs="Arial"/>
        </w:rPr>
      </w:pPr>
      <w:r w:rsidRPr="00C31A78">
        <w:rPr>
          <w:rFonts w:cs="Arial"/>
        </w:rPr>
        <w:t>Cost of Capital</w:t>
      </w:r>
      <w:r>
        <w:rPr>
          <w:rFonts w:cs="Arial"/>
        </w:rPr>
        <w:t xml:space="preserve"> </w:t>
      </w:r>
    </w:p>
    <w:p w14:paraId="5DAE88E4" w14:textId="6B6D1932" w:rsidR="00361ECE" w:rsidRDefault="00361ECE" w:rsidP="00673DE0">
      <w:pPr>
        <w:pStyle w:val="Heading2"/>
        <w:jc w:val="both"/>
      </w:pPr>
      <w:r w:rsidRPr="0068591A">
        <w:t>What return on common equity should be used for determining the rate of return?</w:t>
      </w:r>
    </w:p>
    <w:p w14:paraId="536C834B" w14:textId="0CE6F8AA" w:rsidR="00D450CA" w:rsidRPr="00D450CA" w:rsidRDefault="00D450CA" w:rsidP="00673DE0">
      <w:pPr>
        <w:pStyle w:val="Heading3"/>
        <w:jc w:val="both"/>
      </w:pPr>
      <w:r>
        <w:t>What impact, if any, should the passage of RSMo. section 393.400 have in determining the appropriate return on common equity?</w:t>
      </w:r>
    </w:p>
    <w:p w14:paraId="58356F12" w14:textId="77777777" w:rsidR="00361ECE" w:rsidRPr="0068591A" w:rsidRDefault="00361ECE" w:rsidP="00673DE0">
      <w:pPr>
        <w:pStyle w:val="Heading2"/>
        <w:jc w:val="both"/>
        <w:rPr>
          <w:rStyle w:val="fontstyle01"/>
          <w:rFonts w:ascii="Arial" w:hAnsi="Arial"/>
          <w:color w:val="auto"/>
          <w:szCs w:val="26"/>
        </w:rPr>
      </w:pPr>
      <w:r w:rsidRPr="0068591A">
        <w:rPr>
          <w:rStyle w:val="fontstyle01"/>
          <w:rFonts w:ascii="Arial" w:hAnsi="Arial"/>
          <w:color w:val="auto"/>
          <w:szCs w:val="26"/>
        </w:rPr>
        <w:t>What capital structure should be used for determining the rate of return?</w:t>
      </w:r>
    </w:p>
    <w:p w14:paraId="23036BD6" w14:textId="4E899A35" w:rsidR="00361ECE" w:rsidRDefault="00361ECE" w:rsidP="00673DE0">
      <w:pPr>
        <w:pStyle w:val="Heading2"/>
        <w:jc w:val="both"/>
        <w:rPr>
          <w:rStyle w:val="fontstyle01"/>
          <w:rFonts w:ascii="Arial" w:hAnsi="Arial"/>
          <w:color w:val="auto"/>
          <w:szCs w:val="26"/>
        </w:rPr>
      </w:pPr>
      <w:r w:rsidRPr="0068591A">
        <w:rPr>
          <w:rStyle w:val="fontstyle01"/>
          <w:rFonts w:ascii="Arial" w:hAnsi="Arial"/>
          <w:color w:val="auto"/>
          <w:szCs w:val="26"/>
        </w:rPr>
        <w:t>What cost of debt should be used for determining rate of return?</w:t>
      </w:r>
    </w:p>
    <w:p w14:paraId="285BD027" w14:textId="77777777" w:rsidR="00D450CA" w:rsidRDefault="00023861" w:rsidP="00673DE0">
      <w:pPr>
        <w:pStyle w:val="Heading2"/>
        <w:jc w:val="both"/>
      </w:pPr>
      <w:r>
        <w:t xml:space="preserve">Should short-term debt be included in the capital structure of each </w:t>
      </w:r>
      <w:r w:rsidR="00D450CA">
        <w:t>company</w:t>
      </w:r>
      <w:r>
        <w:t xml:space="preserve">? </w:t>
      </w:r>
    </w:p>
    <w:p w14:paraId="7A90F350" w14:textId="6BBF6392" w:rsidR="00023861" w:rsidRDefault="00023861" w:rsidP="00673DE0">
      <w:pPr>
        <w:pStyle w:val="Heading3"/>
        <w:jc w:val="both"/>
      </w:pPr>
      <w:r>
        <w:t>If so, at what level and at what cost?</w:t>
      </w:r>
    </w:p>
    <w:p w14:paraId="18EE7B5D" w14:textId="08D9DE88" w:rsidR="00D450CA" w:rsidRDefault="00D450CA" w:rsidP="00673DE0">
      <w:pPr>
        <w:pStyle w:val="Heading2"/>
        <w:jc w:val="both"/>
      </w:pPr>
      <w:r>
        <w:t>Should Evergy’s rate base be adjusted to reflect a lower Allowance for Funds Used During Construction (“AFUDC”) rate? </w:t>
      </w:r>
    </w:p>
    <w:p w14:paraId="51130D6A" w14:textId="681C6FE9" w:rsidR="00D450CA" w:rsidRDefault="00D450CA" w:rsidP="00673DE0">
      <w:pPr>
        <w:pStyle w:val="Heading2"/>
        <w:jc w:val="both"/>
      </w:pPr>
      <w:r>
        <w:t>Should t</w:t>
      </w:r>
      <w:r w:rsidR="00271EDB">
        <w:t>he Commission order Evergy</w:t>
      </w:r>
      <w:r>
        <w:t xml:space="preserve">’s AFUDC rate to be consistent with the cost of short-term debt? </w:t>
      </w:r>
    </w:p>
    <w:p w14:paraId="1527C906" w14:textId="77777777" w:rsidR="00D450CA" w:rsidRDefault="00D450CA" w:rsidP="00673DE0">
      <w:pPr>
        <w:pStyle w:val="Heading2"/>
        <w:jc w:val="both"/>
      </w:pPr>
      <w:r>
        <w:t xml:space="preserve">Should Evergy Metro’s revenue requirement be reduced to capture the authorized financing charges/carrying costs for the loans Evergy Metro provided to Evergy MO West to finance Storm Uri?    </w:t>
      </w:r>
    </w:p>
    <w:p w14:paraId="23DAF98A" w14:textId="0677B565" w:rsidR="00361ECE" w:rsidRPr="00C31A78" w:rsidRDefault="00361ECE" w:rsidP="00673DE0">
      <w:pPr>
        <w:jc w:val="both"/>
        <w:rPr>
          <w:rFonts w:ascii="Arial" w:hAnsi="Arial" w:cs="Arial"/>
          <w:u w:val="single"/>
        </w:rPr>
      </w:pPr>
    </w:p>
    <w:p w14:paraId="69EA62CE" w14:textId="692DB6DC" w:rsidR="0068591A" w:rsidRDefault="0068591A" w:rsidP="00673DE0">
      <w:pPr>
        <w:pStyle w:val="Heading1"/>
        <w:jc w:val="both"/>
      </w:pPr>
      <w:r w:rsidRPr="00F04902">
        <w:lastRenderedPageBreak/>
        <w:t xml:space="preserve">Sibley AAO and Net Book Value </w:t>
      </w:r>
    </w:p>
    <w:p w14:paraId="62887CBA" w14:textId="77777777" w:rsidR="005C4A54" w:rsidRDefault="005C4A54" w:rsidP="00673DE0">
      <w:pPr>
        <w:pStyle w:val="Heading2"/>
        <w:jc w:val="both"/>
      </w:pPr>
      <w:r>
        <w:t>Was the retirement of the Sibley generating facility before the end of its useful life prudent?</w:t>
      </w:r>
    </w:p>
    <w:p w14:paraId="19CCFB87" w14:textId="43AF123F" w:rsidR="005C4A54" w:rsidRPr="005C4A54" w:rsidRDefault="005C4A54" w:rsidP="00673DE0">
      <w:pPr>
        <w:pStyle w:val="Heading3"/>
        <w:jc w:val="both"/>
      </w:pPr>
      <w:r>
        <w:t>If no, what if any disallowance should the Commission order?</w:t>
      </w:r>
    </w:p>
    <w:p w14:paraId="4EBB6354" w14:textId="05E91B82" w:rsidR="0068591A" w:rsidRDefault="0068591A" w:rsidP="00673DE0">
      <w:pPr>
        <w:pStyle w:val="Heading2"/>
        <w:jc w:val="both"/>
      </w:pPr>
      <w:r w:rsidRPr="003904CE">
        <w:t>What is the appropriate value for the regulatory liability from Case No. EC-2019-0200?</w:t>
      </w:r>
    </w:p>
    <w:p w14:paraId="3ED96390" w14:textId="4C46D873" w:rsidR="00D450CA" w:rsidRDefault="00D450CA" w:rsidP="00673DE0">
      <w:pPr>
        <w:pStyle w:val="Heading2"/>
        <w:jc w:val="both"/>
      </w:pPr>
      <w:r>
        <w:t xml:space="preserve">What is the amount of unrecovered investment associated with the Sibley Unit Retirements? </w:t>
      </w:r>
    </w:p>
    <w:p w14:paraId="5AD0F323" w14:textId="4FE204A6" w:rsidR="00D450CA" w:rsidRPr="00D450CA" w:rsidRDefault="00D450CA" w:rsidP="00673DE0">
      <w:pPr>
        <w:pStyle w:val="Heading2"/>
        <w:jc w:val="both"/>
      </w:pPr>
      <w:r>
        <w:t>What reserve balances should be used for purposes of determining depreciation expense for Evergy West steam production units, consistent with the Commission’s determination of Sibley’s unrecovered investment?</w:t>
      </w:r>
    </w:p>
    <w:p w14:paraId="59F0A9ED" w14:textId="5E4306E4" w:rsidR="00D450CA" w:rsidRDefault="00D450CA" w:rsidP="00673DE0">
      <w:pPr>
        <w:pStyle w:val="Heading2"/>
        <w:jc w:val="both"/>
      </w:pPr>
      <w:r>
        <w:t>What is the proper amortization period for the regulatory liability related to Sibley?</w:t>
      </w:r>
    </w:p>
    <w:p w14:paraId="4C6C48B2" w14:textId="5601482E" w:rsidR="00D450CA" w:rsidRPr="00D450CA" w:rsidRDefault="00D450CA" w:rsidP="00673DE0">
      <w:pPr>
        <w:pStyle w:val="Heading2"/>
        <w:jc w:val="both"/>
      </w:pPr>
      <w:r>
        <w:t>What is the proper amortization period for the unrecovered depreciation investment from the Sibley retirement?</w:t>
      </w:r>
    </w:p>
    <w:p w14:paraId="218DBE0F" w14:textId="3CED9A06" w:rsidR="006669CE" w:rsidRDefault="006669CE" w:rsidP="00673DE0">
      <w:pPr>
        <w:pStyle w:val="Heading2"/>
        <w:jc w:val="both"/>
      </w:pPr>
      <w:r>
        <w:t>Should the net book value be included in rate base?</w:t>
      </w:r>
    </w:p>
    <w:p w14:paraId="64655012" w14:textId="77777777" w:rsidR="00D450CA" w:rsidRDefault="00D450CA" w:rsidP="00673DE0">
      <w:pPr>
        <w:pStyle w:val="Heading2"/>
        <w:jc w:val="both"/>
      </w:pPr>
      <w:r>
        <w:t>Should the Regulatory liability for Sibley include a rate of return on the undepreciated balance from the time of retirement through the rates effective in this rate case?</w:t>
      </w:r>
    </w:p>
    <w:p w14:paraId="023AB46C" w14:textId="51E30FBE" w:rsidR="00D450CA" w:rsidRDefault="00D450CA" w:rsidP="00673DE0">
      <w:pPr>
        <w:pStyle w:val="Heading2"/>
        <w:spacing w:after="240"/>
        <w:jc w:val="both"/>
      </w:pPr>
      <w:r>
        <w:t>Should the unrecovered investment in Sibley earn a weighted average cost of capital return on a going forward basis?</w:t>
      </w:r>
    </w:p>
    <w:p w14:paraId="45815AC8" w14:textId="3A7B35F1" w:rsidR="00B31BD3" w:rsidRPr="001C37A2" w:rsidRDefault="00B31BD3" w:rsidP="00673DE0">
      <w:pPr>
        <w:pStyle w:val="Heading1"/>
        <w:jc w:val="both"/>
      </w:pPr>
      <w:r w:rsidRPr="001C37A2">
        <w:t>Resource Planning</w:t>
      </w:r>
      <w:r>
        <w:t xml:space="preserve"> </w:t>
      </w:r>
    </w:p>
    <w:p w14:paraId="0E848745" w14:textId="77777777" w:rsidR="00B31BD3" w:rsidRDefault="00B31BD3" w:rsidP="00673DE0">
      <w:pPr>
        <w:pStyle w:val="Heading2"/>
        <w:jc w:val="both"/>
      </w:pPr>
      <w:r>
        <w:t>Has Evergy West been imprudent in its resource planning process?</w:t>
      </w:r>
    </w:p>
    <w:p w14:paraId="0D462907" w14:textId="77777777" w:rsidR="00B31BD3" w:rsidRDefault="00B31BD3" w:rsidP="00673DE0">
      <w:pPr>
        <w:pStyle w:val="Heading3"/>
        <w:jc w:val="both"/>
      </w:pPr>
      <w:r>
        <w:t>If yes, how should Evergy West’s fuel and purchased power costs be determined?</w:t>
      </w:r>
    </w:p>
    <w:p w14:paraId="57A0A58B" w14:textId="77777777" w:rsidR="00B31BD3" w:rsidRDefault="00B31BD3" w:rsidP="00673DE0">
      <w:pPr>
        <w:pStyle w:val="Heading3"/>
        <w:jc w:val="both"/>
      </w:pPr>
      <w:r>
        <w:t>If yes, how should Evergy West’s FAC base factor be calculated?</w:t>
      </w:r>
    </w:p>
    <w:p w14:paraId="53073554" w14:textId="1424B2FA" w:rsidR="00B31BD3" w:rsidRDefault="00B31BD3" w:rsidP="00673DE0">
      <w:pPr>
        <w:pStyle w:val="Heading3"/>
        <w:jc w:val="both"/>
      </w:pPr>
      <w:r>
        <w:t>If yes, how should Evergy West’s accumulation period actual costs be adjusted for its FAC?</w:t>
      </w:r>
    </w:p>
    <w:p w14:paraId="5EF2CA41" w14:textId="7B20B001" w:rsidR="006E5EE8" w:rsidRPr="006E5EE8" w:rsidRDefault="006E5EE8" w:rsidP="00673DE0">
      <w:pPr>
        <w:pStyle w:val="Heading2"/>
        <w:jc w:val="both"/>
      </w:pPr>
      <w:r w:rsidRPr="006B44F8">
        <w:rPr>
          <w:rFonts w:cs="Times New Roman"/>
          <w:szCs w:val="24"/>
        </w:rPr>
        <w:t>Should the Commission require Evergy to conduct a full retirement study of its coal fleet using optimized capacity expansion software, which identifies the optimal retirement date for each of its coal-fired units?</w:t>
      </w:r>
    </w:p>
    <w:p w14:paraId="6CC06620" w14:textId="2D43FFD3" w:rsidR="00AB26D0" w:rsidRDefault="00AB26D0" w:rsidP="00673DE0">
      <w:pPr>
        <w:pStyle w:val="Heading1"/>
        <w:spacing w:before="240"/>
        <w:jc w:val="both"/>
        <w:rPr>
          <w:rFonts w:eastAsia="Times New Roman"/>
        </w:rPr>
      </w:pPr>
      <w:r>
        <w:rPr>
          <w:rFonts w:eastAsia="Times New Roman"/>
        </w:rPr>
        <w:t xml:space="preserve">AMI </w:t>
      </w:r>
    </w:p>
    <w:p w14:paraId="6C0BE611" w14:textId="77777777" w:rsidR="00B90877" w:rsidRDefault="00AB26D0" w:rsidP="00673DE0">
      <w:pPr>
        <w:pStyle w:val="Heading2"/>
        <w:jc w:val="both"/>
        <w:rPr>
          <w:rFonts w:eastAsia="Times New Roman"/>
        </w:rPr>
      </w:pPr>
      <w:r>
        <w:rPr>
          <w:rFonts w:eastAsia="Times New Roman"/>
        </w:rPr>
        <w:t>Should the Commission approve a disallowance related to the premature replacement of AMI meters with AMI meters that have the capability to disconnect/reconnect service (AMI-SD)? </w:t>
      </w:r>
    </w:p>
    <w:p w14:paraId="5E050EFC" w14:textId="5E57DED1" w:rsidR="00B90877" w:rsidRPr="009475FD" w:rsidRDefault="00B90877" w:rsidP="00673DE0">
      <w:pPr>
        <w:pStyle w:val="Heading2"/>
        <w:jc w:val="both"/>
        <w:rPr>
          <w:rFonts w:eastAsia="Times New Roman"/>
        </w:rPr>
      </w:pPr>
      <w:r>
        <w:t>S</w:t>
      </w:r>
      <w:r w:rsidRPr="003650B6">
        <w:t xml:space="preserve">hould the Commission order </w:t>
      </w:r>
      <w:r>
        <w:t>Evergy Metro</w:t>
      </w:r>
      <w:r w:rsidRPr="003650B6">
        <w:t xml:space="preserve"> to change its deployment strategy so that it no longer targets customers in arrearage? </w:t>
      </w:r>
    </w:p>
    <w:p w14:paraId="031CAFDE" w14:textId="3AF4AB9F" w:rsidR="00B90877" w:rsidRPr="003650B6" w:rsidRDefault="00B90877" w:rsidP="00673DE0">
      <w:pPr>
        <w:pStyle w:val="Heading2"/>
        <w:jc w:val="both"/>
      </w:pPr>
      <w:r>
        <w:t xml:space="preserve">Did Evergy </w:t>
      </w:r>
      <w:r w:rsidRPr="003650B6">
        <w:t xml:space="preserve">exceed the 6% annual PISA spend </w:t>
      </w:r>
      <w:r>
        <w:t xml:space="preserve">limit </w:t>
      </w:r>
      <w:r w:rsidRPr="003650B6">
        <w:t xml:space="preserve">on AMI meters? </w:t>
      </w:r>
    </w:p>
    <w:p w14:paraId="2598DB79" w14:textId="0E2DD3E7" w:rsidR="00B90877" w:rsidRPr="00B90877" w:rsidRDefault="00B90877" w:rsidP="00673DE0">
      <w:pPr>
        <w:pStyle w:val="Heading3"/>
        <w:spacing w:after="240"/>
        <w:jc w:val="both"/>
      </w:pPr>
      <w:r>
        <w:t>If yes, what actions, if any, should the Commission take in response?</w:t>
      </w:r>
    </w:p>
    <w:p w14:paraId="67CD6944" w14:textId="77777777" w:rsidR="00AC4DE4" w:rsidRPr="00BF2C4D" w:rsidRDefault="00361ECE" w:rsidP="00673DE0">
      <w:pPr>
        <w:pStyle w:val="Heading1"/>
        <w:tabs>
          <w:tab w:val="left" w:pos="720"/>
        </w:tabs>
        <w:jc w:val="both"/>
        <w:rPr>
          <w:rFonts w:eastAsiaTheme="minorHAnsi" w:cs="Arial"/>
        </w:rPr>
      </w:pPr>
      <w:r w:rsidRPr="00BF2C4D">
        <w:rPr>
          <w:rFonts w:cs="Arial"/>
        </w:rPr>
        <w:t>Fuel Adjustment Clause (“FAC”)</w:t>
      </w:r>
    </w:p>
    <w:p w14:paraId="0D2FB7A1" w14:textId="23D14222" w:rsidR="0020537A" w:rsidRPr="00E50CF6" w:rsidRDefault="0020537A" w:rsidP="00673DE0">
      <w:pPr>
        <w:pStyle w:val="Heading2"/>
        <w:jc w:val="both"/>
        <w:rPr>
          <w:u w:val="single"/>
        </w:rPr>
      </w:pPr>
      <w:r>
        <w:t>Should SPP transmission costs be included in Evergy’s FAC?</w:t>
      </w:r>
    </w:p>
    <w:p w14:paraId="029497A2" w14:textId="425A5A61" w:rsidR="00AC4DE4" w:rsidRDefault="00AC4DE4" w:rsidP="00673DE0">
      <w:pPr>
        <w:pStyle w:val="Heading3"/>
        <w:jc w:val="both"/>
      </w:pPr>
      <w:r>
        <w:t>What is the appropriate percentage of transmission expenses that should be recovered through the FAC?</w:t>
      </w:r>
    </w:p>
    <w:p w14:paraId="609D0102" w14:textId="14BCB1A1" w:rsidR="00BF2C4D" w:rsidRDefault="00BF2C4D" w:rsidP="00673DE0">
      <w:pPr>
        <w:pStyle w:val="Heading2"/>
        <w:jc w:val="both"/>
      </w:pPr>
      <w:r>
        <w:lastRenderedPageBreak/>
        <w:t xml:space="preserve">Should EMM and EMW be allowed to resume hedging activities as a mitigating strategy for its fuel and purchase power risk in both long and short term positions and be allowed to include its costs, gains, and losses in its FAC tariff sheets? </w:t>
      </w:r>
    </w:p>
    <w:p w14:paraId="1C92931D" w14:textId="2DE2D530" w:rsidR="0020537A" w:rsidRDefault="0020537A" w:rsidP="00673DE0">
      <w:pPr>
        <w:pStyle w:val="Heading3"/>
        <w:jc w:val="both"/>
      </w:pPr>
      <w:r>
        <w:t>Should hedging gains and losses be included in Evergy’s FAC?</w:t>
      </w:r>
    </w:p>
    <w:p w14:paraId="25F72948" w14:textId="385A4B86" w:rsidR="0020537A" w:rsidRPr="0020537A" w:rsidRDefault="0020537A" w:rsidP="00673DE0">
      <w:pPr>
        <w:pStyle w:val="Heading4"/>
        <w:spacing w:before="0"/>
        <w:jc w:val="both"/>
      </w:pPr>
      <w:r>
        <w:t>If no, should the hedging costs and gains be recorded in regulatory asset and regulatory liability accounts for treatment determination in Evergy Metro’s next general rate case?</w:t>
      </w:r>
    </w:p>
    <w:p w14:paraId="3440A451" w14:textId="7FEE1D9A" w:rsidR="00BF2C4D" w:rsidRDefault="00BF2C4D" w:rsidP="00673DE0">
      <w:pPr>
        <w:pStyle w:val="Heading2"/>
        <w:jc w:val="both"/>
      </w:pPr>
      <w:r w:rsidRPr="009C01DC">
        <w:t>Should EMM and EMW’s FAC tariff</w:t>
      </w:r>
      <w:r>
        <w:t>s</w:t>
      </w:r>
      <w:r w:rsidRPr="009C01DC">
        <w:t xml:space="preserve"> include language that excludes net costs associated with purchased power agreements entered into after May 2019 whose costs exceed its revenues resulting in a net loss?</w:t>
      </w:r>
      <w:r>
        <w:t xml:space="preserve"> </w:t>
      </w:r>
    </w:p>
    <w:p w14:paraId="33AA2E46" w14:textId="07CEDA63" w:rsidR="00BD0D40" w:rsidRDefault="00BD0D40" w:rsidP="00673DE0">
      <w:pPr>
        <w:pStyle w:val="Heading3"/>
        <w:jc w:val="both"/>
      </w:pPr>
      <w:r w:rsidRPr="007D17C4">
        <w:t>How should the margins for any wind purchased power agreements</w:t>
      </w:r>
      <w:r w:rsidR="002B0E2B">
        <w:t xml:space="preserve"> Evergy</w:t>
      </w:r>
      <w:r w:rsidRPr="007D17C4">
        <w:t xml:space="preserve"> entered into after May 2019 be treated?</w:t>
      </w:r>
    </w:p>
    <w:p w14:paraId="50E48497" w14:textId="27D19738" w:rsidR="0020537A" w:rsidRPr="0020537A" w:rsidRDefault="00BD0D40" w:rsidP="00673DE0">
      <w:pPr>
        <w:pStyle w:val="Heading2"/>
        <w:jc w:val="both"/>
      </w:pPr>
      <w:r>
        <w:t>How should the co</w:t>
      </w:r>
      <w:r w:rsidR="002B0E2B">
        <w:t>sts and revenues of Evergy</w:t>
      </w:r>
      <w:r>
        <w:t>’s current wind purchased power agreements be treated?</w:t>
      </w:r>
    </w:p>
    <w:p w14:paraId="607F62D8" w14:textId="77777777" w:rsidR="00BF2C4D" w:rsidRPr="00BF2C4D" w:rsidRDefault="00BF2C4D" w:rsidP="00673DE0">
      <w:pPr>
        <w:pStyle w:val="Heading2"/>
        <w:jc w:val="both"/>
        <w:rPr>
          <w:rFonts w:cs="Arial"/>
          <w:b/>
          <w:i/>
          <w:szCs w:val="24"/>
        </w:rPr>
      </w:pPr>
      <w:r w:rsidRPr="00BF2C4D">
        <w:rPr>
          <w:b/>
          <w:i/>
        </w:rPr>
        <w:t>FAC Base Factor and Tariff &amp; Eligible Accounts</w:t>
      </w:r>
    </w:p>
    <w:p w14:paraId="34FE0192" w14:textId="6F0CA26B" w:rsidR="00BF2C4D" w:rsidRDefault="00BF2C4D" w:rsidP="00673DE0">
      <w:pPr>
        <w:pStyle w:val="Heading3"/>
        <w:jc w:val="both"/>
      </w:pPr>
      <w:r w:rsidRPr="00BF2C4D">
        <w:t>What are the base factors for EMM and EMW?</w:t>
      </w:r>
    </w:p>
    <w:p w14:paraId="47CDE5B1" w14:textId="692E2E71" w:rsidR="0020537A" w:rsidRPr="00E50CF6" w:rsidRDefault="0020537A" w:rsidP="00673DE0">
      <w:pPr>
        <w:pStyle w:val="Heading4"/>
        <w:spacing w:before="0"/>
        <w:jc w:val="both"/>
        <w:rPr>
          <w:u w:val="single"/>
        </w:rPr>
      </w:pPr>
      <w:r>
        <w:t>Should the cost of the Central Nebraska Public Power and Irrigation District (“CNPPID”) hydro purchased power agreement be included in the FAC base factor calculation</w:t>
      </w:r>
      <w:r w:rsidR="002B0E2B">
        <w:t xml:space="preserve"> for Evergy Metro</w:t>
      </w:r>
      <w:r>
        <w:t>?</w:t>
      </w:r>
      <w:r w:rsidR="002B0E2B">
        <w:t xml:space="preserve"> (Metro Only)</w:t>
      </w:r>
    </w:p>
    <w:p w14:paraId="52BFD609" w14:textId="1747E751" w:rsidR="0020537A" w:rsidRPr="009475FD" w:rsidRDefault="0020537A" w:rsidP="00673DE0">
      <w:pPr>
        <w:pStyle w:val="Heading4"/>
        <w:spacing w:before="0"/>
        <w:jc w:val="both"/>
        <w:rPr>
          <w:u w:val="single"/>
        </w:rPr>
      </w:pPr>
      <w:r>
        <w:t>Should the cost of Evergy Metro’s Ponderosa</w:t>
      </w:r>
      <w:r w:rsidR="002C0295">
        <w:t xml:space="preserve"> and Evergy West’s Cimarron Bend III</w:t>
      </w:r>
      <w:r>
        <w:t xml:space="preserve"> wind PPA</w:t>
      </w:r>
      <w:r w:rsidR="002C0295">
        <w:t>s</w:t>
      </w:r>
      <w:r>
        <w:t xml:space="preserve"> be included in the FAC base factor calculation?</w:t>
      </w:r>
      <w:r w:rsidR="002B0E2B">
        <w:t xml:space="preserve"> </w:t>
      </w:r>
    </w:p>
    <w:p w14:paraId="0F8F1436" w14:textId="1A9437A9" w:rsidR="00BF2C4D" w:rsidRDefault="00BF2C4D" w:rsidP="00673DE0">
      <w:pPr>
        <w:pStyle w:val="Heading3"/>
        <w:jc w:val="both"/>
      </w:pPr>
      <w:r>
        <w:t>What are the updated transmission costs for EMM and EMW?</w:t>
      </w:r>
    </w:p>
    <w:p w14:paraId="3F35632D" w14:textId="2EA9ED72" w:rsidR="0020537A" w:rsidRPr="00704E32" w:rsidRDefault="0020537A" w:rsidP="00673DE0">
      <w:pPr>
        <w:pStyle w:val="Heading3"/>
        <w:jc w:val="both"/>
      </w:pPr>
      <w:r>
        <w:t>Should Southwest Power Pool (“SPP”) transmission revenues be included in Evergy’s FAC?</w:t>
      </w:r>
    </w:p>
    <w:p w14:paraId="43281CD8" w14:textId="55755404" w:rsidR="0020537A" w:rsidRPr="009475FD" w:rsidRDefault="0020537A" w:rsidP="00673DE0">
      <w:pPr>
        <w:pStyle w:val="Heading4"/>
        <w:spacing w:before="0"/>
        <w:jc w:val="both"/>
        <w:rPr>
          <w:u w:val="single"/>
        </w:rPr>
      </w:pPr>
      <w:r>
        <w:t>If yes, what percentage of transmission revenues should be included?</w:t>
      </w:r>
    </w:p>
    <w:p w14:paraId="7F070ABE" w14:textId="12292D9A" w:rsidR="00BF2C4D" w:rsidRDefault="00BF2C4D" w:rsidP="00673DE0">
      <w:pPr>
        <w:pStyle w:val="Heading3"/>
        <w:jc w:val="both"/>
      </w:pPr>
      <w:r>
        <w:t xml:space="preserve">What are the appropriate </w:t>
      </w:r>
      <w:r w:rsidRPr="00D417A5">
        <w:t>FAC Voltage Adjustment Factors for EMM</w:t>
      </w:r>
      <w:r>
        <w:t xml:space="preserve"> and EMW?</w:t>
      </w:r>
    </w:p>
    <w:p w14:paraId="4C3424E4" w14:textId="76334747" w:rsidR="00BF2C4D" w:rsidRDefault="00BF2C4D" w:rsidP="00673DE0">
      <w:pPr>
        <w:pStyle w:val="Heading3"/>
        <w:jc w:val="both"/>
      </w:pPr>
      <w:r w:rsidRPr="00D417A5">
        <w:t>What</w:t>
      </w:r>
      <w:r w:rsidR="0020537A">
        <w:t>, if any,</w:t>
      </w:r>
      <w:r w:rsidRPr="00D417A5">
        <w:t xml:space="preserve"> SPP charge types should the Commission include in EMM and EMW’s FAC tariff sheets?</w:t>
      </w:r>
      <w:r w:rsidR="0020537A" w:rsidRPr="0020537A">
        <w:t xml:space="preserve"> </w:t>
      </w:r>
    </w:p>
    <w:p w14:paraId="07782110" w14:textId="7BDAC082" w:rsidR="00BF2C4D" w:rsidRDefault="00BF2C4D" w:rsidP="00673DE0">
      <w:pPr>
        <w:pStyle w:val="Heading3"/>
        <w:jc w:val="both"/>
      </w:pPr>
      <w:r w:rsidRPr="008977D1">
        <w:t>Should the Commission allow EMM and EMW to include account 555070 for SPP purchased power administration fees</w:t>
      </w:r>
      <w:r w:rsidR="00D77FF1">
        <w:t xml:space="preserve"> in </w:t>
      </w:r>
      <w:r w:rsidR="003327C2">
        <w:t>their</w:t>
      </w:r>
      <w:r w:rsidR="00D77FF1">
        <w:t xml:space="preserve"> FAC</w:t>
      </w:r>
      <w:r w:rsidRPr="008977D1">
        <w:t>?</w:t>
      </w:r>
    </w:p>
    <w:p w14:paraId="26991B4F" w14:textId="72196D2C" w:rsidR="00BF2C4D" w:rsidRDefault="00BF2C4D" w:rsidP="00673DE0">
      <w:pPr>
        <w:pStyle w:val="Heading3"/>
        <w:jc w:val="both"/>
      </w:pPr>
      <w:r w:rsidRPr="008977D1">
        <w:t>Should the Commission allow EMM and EMW to include natural gas reservation charges to the tariff to include account 547027 “Fuel OnSys Oth Prod-Demand in their FAC?</w:t>
      </w:r>
    </w:p>
    <w:p w14:paraId="7FF6F453" w14:textId="77777777" w:rsidR="008E16B7" w:rsidRPr="00D77FF1" w:rsidRDefault="008E16B7" w:rsidP="00673DE0">
      <w:pPr>
        <w:pStyle w:val="Heading3"/>
        <w:jc w:val="both"/>
      </w:pPr>
      <w:r>
        <w:t>Should costs recorded in Account 501420 be included in Evergy’s FAC?</w:t>
      </w:r>
    </w:p>
    <w:p w14:paraId="5AB97DE3" w14:textId="58E6D627" w:rsidR="00BF2C4D" w:rsidRDefault="00BF2C4D" w:rsidP="00673DE0">
      <w:pPr>
        <w:pStyle w:val="Heading4"/>
        <w:spacing w:before="0"/>
        <w:jc w:val="both"/>
      </w:pPr>
      <w:r w:rsidRPr="008977D1">
        <w:t>Should the Commission allow EMM to include account 501420 to record fuel residual costs previously charged to account 502 and include</w:t>
      </w:r>
      <w:r w:rsidR="008E16B7">
        <w:t>d</w:t>
      </w:r>
      <w:r w:rsidRPr="008977D1">
        <w:t xml:space="preserve"> in base rates?</w:t>
      </w:r>
    </w:p>
    <w:p w14:paraId="191F65A7" w14:textId="77777777" w:rsidR="00BF2C4D" w:rsidRDefault="00BF2C4D" w:rsidP="00673DE0">
      <w:pPr>
        <w:pStyle w:val="Heading3"/>
        <w:jc w:val="both"/>
      </w:pPr>
      <w:r w:rsidRPr="008977D1">
        <w:lastRenderedPageBreak/>
        <w:t>Should the Commission allow Evergy to expand the FERC accounts impacted by the gains or losses to be reported for the sale of Renewable Energy Credits to be consistent throughout Evergy as well as to add more to the definition of a Renewable Energy Credit for accounts 411800 and 411900?</w:t>
      </w:r>
    </w:p>
    <w:p w14:paraId="648B78A1" w14:textId="77777777" w:rsidR="00BF2C4D" w:rsidRDefault="00BF2C4D" w:rsidP="00673DE0">
      <w:pPr>
        <w:pStyle w:val="Heading3"/>
        <w:jc w:val="both"/>
      </w:pPr>
      <w:r w:rsidRPr="008977D1">
        <w:t xml:space="preserve">Should the Commission </w:t>
      </w:r>
      <w:r>
        <w:t xml:space="preserve">allow </w:t>
      </w:r>
      <w:r w:rsidRPr="008977D1">
        <w:t>EMW to include account 501, Unit Train Maintenance and Property Taxes?</w:t>
      </w:r>
    </w:p>
    <w:p w14:paraId="559FA4D5" w14:textId="77777777" w:rsidR="00BF2C4D" w:rsidRDefault="00BF2C4D" w:rsidP="00673DE0">
      <w:pPr>
        <w:pStyle w:val="Heading3"/>
        <w:jc w:val="both"/>
      </w:pPr>
      <w:r w:rsidRPr="008977D1">
        <w:t xml:space="preserve">Should the Commission </w:t>
      </w:r>
      <w:r>
        <w:t xml:space="preserve">allow </w:t>
      </w:r>
      <w:r w:rsidRPr="008977D1">
        <w:t>EMM to include amounts for Premium Ammonia, which was excluded in the previous rate case Base Factor calculation as account 547300?</w:t>
      </w:r>
    </w:p>
    <w:p w14:paraId="6883723E" w14:textId="3FD48796" w:rsidR="00BF2C4D" w:rsidRDefault="00BF2C4D" w:rsidP="00673DE0">
      <w:pPr>
        <w:pStyle w:val="Heading3"/>
        <w:jc w:val="both"/>
      </w:pPr>
      <w:r w:rsidRPr="008977D1">
        <w:t xml:space="preserve">Should the Commission </w:t>
      </w:r>
      <w:r>
        <w:t xml:space="preserve">allow </w:t>
      </w:r>
      <w:r w:rsidRPr="008977D1">
        <w:t>Evergy to include amounts for Firm Bulk Sales (Capacity &amp; Fixed)</w:t>
      </w:r>
      <w:r w:rsidR="00D77FF1">
        <w:t>,</w:t>
      </w:r>
      <w:r w:rsidRPr="008977D1">
        <w:t xml:space="preserve"> which was excluded in the previous rate case Base Factor calculation</w:t>
      </w:r>
      <w:r w:rsidR="00D77FF1">
        <w:t>, in their FAC</w:t>
      </w:r>
      <w:r w:rsidRPr="008977D1">
        <w:t>?</w:t>
      </w:r>
    </w:p>
    <w:p w14:paraId="15C29FD3" w14:textId="77777777" w:rsidR="00BF2C4D" w:rsidRDefault="00BF2C4D" w:rsidP="00673DE0">
      <w:pPr>
        <w:pStyle w:val="Heading3"/>
        <w:jc w:val="both"/>
      </w:pPr>
      <w:r w:rsidRPr="008977D1">
        <w:t>Should the Commission</w:t>
      </w:r>
      <w:r>
        <w:t xml:space="preserve"> allow </w:t>
      </w:r>
      <w:r w:rsidRPr="008977D1">
        <w:t>EMW to update the OSSR and PP definition to be more consistent with EMM’s same definitions, on tariff sheets 127.26 and 127.28?</w:t>
      </w:r>
    </w:p>
    <w:p w14:paraId="667A1952" w14:textId="77777777" w:rsidR="00BF2C4D" w:rsidRDefault="00BF2C4D" w:rsidP="00673DE0">
      <w:pPr>
        <w:pStyle w:val="Heading3"/>
        <w:jc w:val="both"/>
      </w:pPr>
      <w:r w:rsidRPr="008977D1">
        <w:t>Should the Commission</w:t>
      </w:r>
      <w:r>
        <w:t xml:space="preserve"> allow</w:t>
      </w:r>
      <w:r w:rsidRPr="008977D1">
        <w:t xml:space="preserve"> EMW to include an aux power adjustment in the FAC base factor calculation?</w:t>
      </w:r>
    </w:p>
    <w:p w14:paraId="542F131C" w14:textId="6CDB103B" w:rsidR="0020537A" w:rsidRDefault="00BF2C4D" w:rsidP="00673DE0">
      <w:pPr>
        <w:pStyle w:val="Heading3"/>
        <w:jc w:val="both"/>
      </w:pPr>
      <w:r w:rsidRPr="008977D1">
        <w:t>Should the Commission allow Evergy to change tariff language and</w:t>
      </w:r>
      <w:r>
        <w:t xml:space="preserve"> the</w:t>
      </w:r>
      <w:r w:rsidRPr="008977D1">
        <w:t xml:space="preserve"> OSSR definition, for additional solar subscription pilot unsubscribed revenues to be imputed at 75%. EMM also updated their proposed tariff language in DR 257.2, “For future solar subscription projects, additional revenue will be added at an imputed 100% of the </w:t>
      </w:r>
      <w:r w:rsidR="00673DE0">
        <w:t>unsubscribed portion up to 50%”</w:t>
      </w:r>
      <w:r w:rsidRPr="008977D1">
        <w:t>?</w:t>
      </w:r>
    </w:p>
    <w:p w14:paraId="2B045248" w14:textId="4655E220" w:rsidR="0020537A" w:rsidRDefault="0020537A" w:rsidP="00673DE0">
      <w:pPr>
        <w:pStyle w:val="Heading3"/>
        <w:jc w:val="both"/>
      </w:pPr>
      <w:r>
        <w:t xml:space="preserve">Should language that explicitly prohibits recovery of retirement and/or decommissioning costs related to the retirement of a generation plant be added to Evergy’s FAC tariff sheets? </w:t>
      </w:r>
    </w:p>
    <w:p w14:paraId="5FD5580A" w14:textId="71C9E878" w:rsidR="0020537A" w:rsidRDefault="0020537A" w:rsidP="00673DE0">
      <w:pPr>
        <w:pStyle w:val="Heading4"/>
        <w:spacing w:before="0"/>
        <w:jc w:val="both"/>
      </w:pPr>
      <w:r>
        <w:t>If yes, what language should be added?</w:t>
      </w:r>
    </w:p>
    <w:p w14:paraId="413D2CDD" w14:textId="1072463E" w:rsidR="0020537A" w:rsidRDefault="0020537A" w:rsidP="00673DE0">
      <w:pPr>
        <w:pStyle w:val="Heading3"/>
        <w:jc w:val="both"/>
      </w:pPr>
      <w:r>
        <w:t xml:space="preserve">Should language that would allow the mitigation of the impact of extraordinary net fuel and purchase power costs be added to Evergy’s tariff sheets?  </w:t>
      </w:r>
    </w:p>
    <w:p w14:paraId="62EEFD1D" w14:textId="0AB9CC9B" w:rsidR="0020537A" w:rsidRDefault="0020537A" w:rsidP="00673DE0">
      <w:pPr>
        <w:pStyle w:val="Heading4"/>
        <w:spacing w:before="0"/>
        <w:jc w:val="both"/>
      </w:pPr>
      <w:r>
        <w:t>If yes, what language should be added?</w:t>
      </w:r>
    </w:p>
    <w:p w14:paraId="52446EA7" w14:textId="021D31E0" w:rsidR="0020537A" w:rsidRDefault="0020537A" w:rsidP="00673DE0">
      <w:pPr>
        <w:pStyle w:val="Heading3"/>
        <w:jc w:val="both"/>
      </w:pPr>
      <w:r>
        <w:t xml:space="preserve">Should language that explicitly prohibits recovery of fuel and purchased power costs for research and development be added to Evergy’s tariff sheets? </w:t>
      </w:r>
    </w:p>
    <w:p w14:paraId="2655F142" w14:textId="2820A8A1" w:rsidR="0020537A" w:rsidRDefault="0020537A" w:rsidP="00673DE0">
      <w:pPr>
        <w:pStyle w:val="Heading4"/>
        <w:spacing w:before="0"/>
        <w:jc w:val="both"/>
      </w:pPr>
      <w:r>
        <w:t>If yes, what language should be added?</w:t>
      </w:r>
    </w:p>
    <w:p w14:paraId="24F69666" w14:textId="1F65FBC6" w:rsidR="005C4A54" w:rsidRDefault="005C4A54" w:rsidP="00673DE0">
      <w:pPr>
        <w:pStyle w:val="Heading3"/>
        <w:jc w:val="both"/>
      </w:pPr>
      <w:r>
        <w:t xml:space="preserve">Should language be added to Evergy West’s FAC tariff sheets to incorporate the provision in its Special High-Load Factor tariff (“Scheduled MKT”), ordered by the Commission in Case No. EO-2022-00611, relating to the interaction of taking service under the MKT rate and Evergy West’s FAC?    </w:t>
      </w:r>
    </w:p>
    <w:p w14:paraId="22F4876C" w14:textId="02CE198F" w:rsidR="005C4A54" w:rsidRDefault="005C4A54" w:rsidP="00673DE0">
      <w:pPr>
        <w:pStyle w:val="Heading4"/>
        <w:spacing w:before="0"/>
        <w:jc w:val="both"/>
      </w:pPr>
      <w:r w:rsidRPr="0011166E">
        <w:t>If yes, what language should be added?</w:t>
      </w:r>
    </w:p>
    <w:p w14:paraId="37B74650" w14:textId="481E4E6F" w:rsidR="00D77FF1" w:rsidRDefault="00D77FF1" w:rsidP="00673DE0">
      <w:pPr>
        <w:pStyle w:val="Heading3"/>
        <w:jc w:val="both"/>
      </w:pPr>
      <w:r>
        <w:t>Should language be added to Evergy Metro’s FAC tariff sheets to incorporate the interaction of Evergy’s FAC and future customers taking service under a rate schedule similar to the Evergy West’s MKT rate?</w:t>
      </w:r>
    </w:p>
    <w:p w14:paraId="4DB3DF5A" w14:textId="1ED4E571" w:rsidR="00D77FF1" w:rsidRPr="00D77FF1" w:rsidRDefault="00D77FF1" w:rsidP="00673DE0">
      <w:pPr>
        <w:pStyle w:val="Heading4"/>
        <w:spacing w:before="0"/>
        <w:jc w:val="both"/>
      </w:pPr>
      <w:r w:rsidRPr="0011166E">
        <w:t>If yes, what language should be added?</w:t>
      </w:r>
    </w:p>
    <w:p w14:paraId="72F58541" w14:textId="6DAE3E40" w:rsidR="0020537A" w:rsidRDefault="0020537A" w:rsidP="00673DE0">
      <w:pPr>
        <w:pStyle w:val="Heading3"/>
        <w:jc w:val="both"/>
      </w:pPr>
      <w:r>
        <w:lastRenderedPageBreak/>
        <w:t>Should language be added to Evergy’s FAC tariff sheets reflecting additional rate schedules and customer programs?</w:t>
      </w:r>
    </w:p>
    <w:p w14:paraId="5B137301" w14:textId="06BC895A" w:rsidR="0020537A" w:rsidRDefault="0020537A" w:rsidP="00673DE0">
      <w:pPr>
        <w:pStyle w:val="Heading4"/>
        <w:spacing w:before="0"/>
        <w:jc w:val="both"/>
      </w:pPr>
      <w:r>
        <w:t xml:space="preserve">If yes, what language should be added? </w:t>
      </w:r>
    </w:p>
    <w:p w14:paraId="438AB95C" w14:textId="1751ED3A" w:rsidR="0020537A" w:rsidRDefault="0020537A" w:rsidP="00673DE0">
      <w:pPr>
        <w:pStyle w:val="Heading3"/>
        <w:jc w:val="both"/>
      </w:pPr>
      <w:r>
        <w:t>Should FAC tariff sheets be modified to take into a</w:t>
      </w:r>
      <w:r w:rsidR="00BD0D40">
        <w:t>ccount impacts from Evergy</w:t>
      </w:r>
      <w:r>
        <w:t xml:space="preserve">’s low-income solar subscription project, Green Pricing Renewable Energy Credit (“REC”) program, and Business EV Charging Service Carbon Free Energy Options?  </w:t>
      </w:r>
    </w:p>
    <w:p w14:paraId="3BF5CE39" w14:textId="6B8D5CEF" w:rsidR="0020537A" w:rsidRDefault="0020537A" w:rsidP="00673DE0">
      <w:pPr>
        <w:pStyle w:val="Heading4"/>
        <w:spacing w:before="0"/>
        <w:jc w:val="both"/>
      </w:pPr>
      <w:r>
        <w:t>If yes, what changes should be made to the tariff sheets?</w:t>
      </w:r>
    </w:p>
    <w:p w14:paraId="1074EA9A" w14:textId="4D6D551E" w:rsidR="00BD0D40" w:rsidRDefault="00BD0D40" w:rsidP="00673DE0">
      <w:pPr>
        <w:pStyle w:val="Heading3"/>
        <w:jc w:val="both"/>
      </w:pPr>
      <w:r>
        <w:t>Should revenues from Evergy</w:t>
      </w:r>
      <w:r w:rsidRPr="00A10B8D">
        <w:t xml:space="preserve">’s low-income solar subscription project, Green Pricing REC program, and Business EV Charging Service Carbon Free Energy Options </w:t>
      </w:r>
      <w:r>
        <w:t>program flow through Evergy’s FAC?</w:t>
      </w:r>
    </w:p>
    <w:p w14:paraId="7058D662" w14:textId="6A134C31" w:rsidR="00BD0D40" w:rsidRDefault="00BD0D40" w:rsidP="00673DE0">
      <w:pPr>
        <w:pStyle w:val="Heading4"/>
        <w:spacing w:before="0"/>
        <w:jc w:val="both"/>
      </w:pPr>
      <w:r>
        <w:t>If no, what should the ratemaking treatment be to return revenues from these programs back to customers?</w:t>
      </w:r>
    </w:p>
    <w:p w14:paraId="16B5DA02" w14:textId="19C095A4" w:rsidR="00BD0D40" w:rsidRDefault="00BD0D40" w:rsidP="00673DE0">
      <w:pPr>
        <w:pStyle w:val="Heading3"/>
        <w:jc w:val="both"/>
      </w:pPr>
      <w:r>
        <w:t>Should the procedure relating to changes to SPP schedules that is currently in Evergy’s FAC tariff sheets be retained?</w:t>
      </w:r>
    </w:p>
    <w:p w14:paraId="50025880" w14:textId="77777777" w:rsidR="005C4A54" w:rsidRDefault="005C4A54" w:rsidP="00673DE0">
      <w:pPr>
        <w:pStyle w:val="Heading3"/>
        <w:jc w:val="both"/>
      </w:pPr>
      <w:r>
        <w:t>Should the Evergy West FAC tariff sheets reflect the adjustments to the FAC costs due to electricity usage of Evergy West’s steam heat utility?</w:t>
      </w:r>
    </w:p>
    <w:p w14:paraId="0509FC4C" w14:textId="77777777" w:rsidR="005C4A54" w:rsidRDefault="005C4A54" w:rsidP="00673DE0">
      <w:pPr>
        <w:pStyle w:val="Heading3"/>
        <w:jc w:val="both"/>
      </w:pPr>
      <w:r>
        <w:t>If the Commission allows deferment of the FAC costs in Case No. ER-2023-0011, should that deferral be recovered in this rate case?</w:t>
      </w:r>
    </w:p>
    <w:p w14:paraId="0C397E50" w14:textId="311D6659" w:rsidR="005C4A54" w:rsidRPr="005C4A54" w:rsidRDefault="005C4A54" w:rsidP="00673DE0">
      <w:pPr>
        <w:pStyle w:val="Heading4"/>
        <w:spacing w:before="0"/>
        <w:jc w:val="both"/>
      </w:pPr>
      <w:r>
        <w:t>If yes, how would it be treated?</w:t>
      </w:r>
    </w:p>
    <w:p w14:paraId="7B97A24C" w14:textId="77777777" w:rsidR="00BD0D40" w:rsidRDefault="00BD0D40" w:rsidP="00673DE0">
      <w:pPr>
        <w:pStyle w:val="Heading2"/>
        <w:jc w:val="both"/>
      </w:pPr>
      <w:r>
        <w:t>What reporting requirements, in addition to the requirements of 20 CSR 4240-20.090 should Evergy Metro be required to provide?</w:t>
      </w:r>
    </w:p>
    <w:p w14:paraId="546ADD90" w14:textId="6461D1EC" w:rsidR="0020537A" w:rsidRPr="0020537A" w:rsidRDefault="00BD0D40" w:rsidP="00673DE0">
      <w:pPr>
        <w:pStyle w:val="Heading3"/>
        <w:jc w:val="both"/>
      </w:pPr>
      <w:r>
        <w:t>Should Evergy Metro provide this information to OPC in addition to Staff?</w:t>
      </w:r>
    </w:p>
    <w:p w14:paraId="09F3B924" w14:textId="19F5B7B0" w:rsidR="005E627E" w:rsidRPr="005E627E" w:rsidRDefault="005E627E" w:rsidP="00673DE0">
      <w:pPr>
        <w:pStyle w:val="Heading1"/>
        <w:spacing w:before="240"/>
        <w:jc w:val="both"/>
        <w:rPr>
          <w:rFonts w:cs="Arial"/>
        </w:rPr>
      </w:pPr>
      <w:r w:rsidRPr="005E627E">
        <w:rPr>
          <w:rFonts w:cs="Arial"/>
        </w:rPr>
        <w:t xml:space="preserve">Fuel </w:t>
      </w:r>
      <w:r w:rsidR="00AC4DE4">
        <w:rPr>
          <w:rFonts w:cs="Arial"/>
        </w:rPr>
        <w:t>and Purchased Power</w:t>
      </w:r>
    </w:p>
    <w:p w14:paraId="0C76D5E5" w14:textId="4D3298AD" w:rsidR="00AC4DE4" w:rsidRDefault="00AC4DE4" w:rsidP="00673DE0">
      <w:pPr>
        <w:pStyle w:val="Heading2"/>
        <w:jc w:val="both"/>
      </w:pPr>
      <w:r>
        <w:t>What is the appropriate level of variable fuel and purchased power expense for the Commission to order?</w:t>
      </w:r>
    </w:p>
    <w:p w14:paraId="2917FEFD" w14:textId="66B20E81" w:rsidR="00AC4DE4" w:rsidRDefault="00AC4DE4" w:rsidP="00673DE0">
      <w:pPr>
        <w:pStyle w:val="Heading2"/>
        <w:jc w:val="both"/>
      </w:pPr>
      <w:r>
        <w:t>How should recent price volatility be reflected in the market prices used in the production cost models?</w:t>
      </w:r>
    </w:p>
    <w:p w14:paraId="57E3508A" w14:textId="399B4805" w:rsidR="00401673" w:rsidRDefault="00401673" w:rsidP="00673DE0">
      <w:pPr>
        <w:pStyle w:val="Heading2"/>
        <w:jc w:val="both"/>
      </w:pPr>
      <w:r>
        <w:t>What is the appropriate level of Sales for Resale Revenue?</w:t>
      </w:r>
    </w:p>
    <w:p w14:paraId="2BDC8A56" w14:textId="5E2706C1" w:rsidR="00D450CA" w:rsidRDefault="00D450CA" w:rsidP="00673DE0">
      <w:pPr>
        <w:pStyle w:val="Heading2"/>
        <w:jc w:val="both"/>
      </w:pPr>
      <w:r>
        <w:t>How should the net cost of the Central Nebraska Public Power and Irrigation District (“CNPPID”) hydro purchased power agreement (“PPA”) be treated?</w:t>
      </w:r>
    </w:p>
    <w:p w14:paraId="6F33974A" w14:textId="77777777" w:rsidR="00D450CA" w:rsidRDefault="00D450CA" w:rsidP="00673DE0">
      <w:pPr>
        <w:pStyle w:val="Heading3"/>
        <w:jc w:val="both"/>
      </w:pPr>
      <w:r>
        <w:t>Should a normalized cost be included in the calculation of the fuel and purchased power costs of Evergy Metro’s revenue requirement?</w:t>
      </w:r>
    </w:p>
    <w:p w14:paraId="293FEA72" w14:textId="77777777" w:rsidR="00D450CA" w:rsidRDefault="00D450CA" w:rsidP="00673DE0">
      <w:pPr>
        <w:pStyle w:val="Heading3"/>
        <w:jc w:val="both"/>
      </w:pPr>
      <w:r w:rsidRPr="007D17C4">
        <w:t xml:space="preserve">Should a normalized cost be included in the Evergy Metro </w:t>
      </w:r>
      <w:r>
        <w:t>fuel adjustment clause (“FAC”) base factor calculation</w:t>
      </w:r>
      <w:r w:rsidRPr="007D17C4">
        <w:t>?</w:t>
      </w:r>
    </w:p>
    <w:p w14:paraId="1A3AFCCC" w14:textId="3EA210E8" w:rsidR="00D450CA" w:rsidRPr="00D450CA" w:rsidRDefault="00D450CA" w:rsidP="00673DE0">
      <w:pPr>
        <w:pStyle w:val="Heading3"/>
        <w:jc w:val="both"/>
      </w:pPr>
      <w:r>
        <w:t>Should the actual CNPPID hydro PPA costs be included in Evergy Metro’s actual accumulation period FAC costs?</w:t>
      </w:r>
    </w:p>
    <w:p w14:paraId="6BB04824" w14:textId="4354662A" w:rsidR="00361ECE" w:rsidRDefault="005E627E" w:rsidP="00673DE0">
      <w:pPr>
        <w:pStyle w:val="Heading2"/>
        <w:jc w:val="both"/>
        <w:rPr>
          <w:rFonts w:eastAsiaTheme="minorHAnsi"/>
        </w:rPr>
      </w:pPr>
      <w:r w:rsidRPr="005E627E">
        <w:rPr>
          <w:rFonts w:eastAsiaTheme="minorHAnsi"/>
        </w:rPr>
        <w:t>Should forecasted or actual gas prices be used in the fuel expense calculation?</w:t>
      </w:r>
    </w:p>
    <w:p w14:paraId="795251CE" w14:textId="104A0265" w:rsidR="00D450CA" w:rsidRDefault="00D450CA" w:rsidP="00673DE0">
      <w:pPr>
        <w:pStyle w:val="Heading2"/>
        <w:jc w:val="both"/>
      </w:pPr>
      <w:r>
        <w:t>How s</w:t>
      </w:r>
      <w:r w:rsidR="005C4A54">
        <w:t>hould Evergy Metro’s</w:t>
      </w:r>
      <w:r w:rsidRPr="00544597">
        <w:t xml:space="preserve"> </w:t>
      </w:r>
      <w:r>
        <w:t>Ponderosa</w:t>
      </w:r>
      <w:r w:rsidR="005C4A54">
        <w:t xml:space="preserve"> and Evergy West’s Cimarron Bend III</w:t>
      </w:r>
      <w:r>
        <w:t xml:space="preserve"> wind</w:t>
      </w:r>
      <w:r w:rsidRPr="00544597">
        <w:t xml:space="preserve"> purchased power agreement</w:t>
      </w:r>
      <w:r w:rsidR="005C4A54">
        <w:t>s</w:t>
      </w:r>
      <w:r w:rsidRPr="00544597">
        <w:t xml:space="preserve"> be </w:t>
      </w:r>
      <w:r>
        <w:t>treated</w:t>
      </w:r>
      <w:r w:rsidRPr="00544597">
        <w:t xml:space="preserve">? </w:t>
      </w:r>
    </w:p>
    <w:p w14:paraId="66193F13" w14:textId="5717B110" w:rsidR="00D450CA" w:rsidRDefault="00D450CA" w:rsidP="00673DE0">
      <w:pPr>
        <w:pStyle w:val="Heading3"/>
        <w:jc w:val="both"/>
      </w:pPr>
      <w:r>
        <w:t>Should a normalized cost be included in the calculation of the fuel and purchased power costs of Evergy Metro</w:t>
      </w:r>
      <w:r w:rsidR="005C4A54">
        <w:t xml:space="preserve"> and Evergy West</w:t>
      </w:r>
      <w:r>
        <w:t>’s revenue requirement</w:t>
      </w:r>
      <w:r w:rsidR="005C4A54">
        <w:t>, respectively</w:t>
      </w:r>
      <w:r>
        <w:t>?</w:t>
      </w:r>
    </w:p>
    <w:p w14:paraId="7195A3D3" w14:textId="77777777" w:rsidR="00D450CA" w:rsidRDefault="00D450CA" w:rsidP="00673DE0">
      <w:pPr>
        <w:pStyle w:val="Heading4"/>
        <w:spacing w:before="0"/>
        <w:jc w:val="both"/>
      </w:pPr>
      <w:r>
        <w:lastRenderedPageBreak/>
        <w:t>If yes, how should the amount be calculated?</w:t>
      </w:r>
    </w:p>
    <w:p w14:paraId="054E0B8F" w14:textId="1E5A34B0" w:rsidR="004C2324" w:rsidRDefault="004C2324" w:rsidP="00673DE0">
      <w:pPr>
        <w:pStyle w:val="Heading3"/>
        <w:jc w:val="both"/>
      </w:pPr>
      <w:r>
        <w:t>Should a normalized cost be included in the FAC base factor calculation for Evergy Metro and Evergy West, respectively?</w:t>
      </w:r>
    </w:p>
    <w:p w14:paraId="17E02EC1" w14:textId="61689CA3" w:rsidR="00D450CA" w:rsidRPr="00D450CA" w:rsidRDefault="00D450CA" w:rsidP="00673DE0">
      <w:pPr>
        <w:pStyle w:val="Heading3"/>
        <w:jc w:val="both"/>
      </w:pPr>
      <w:r>
        <w:t>Should the actual c</w:t>
      </w:r>
      <w:r w:rsidR="005C4A54">
        <w:t>osts be included in Evergy’s</w:t>
      </w:r>
      <w:r>
        <w:t xml:space="preserve"> actual accumulation period FAC costs?</w:t>
      </w:r>
    </w:p>
    <w:p w14:paraId="14577D83" w14:textId="746FA175" w:rsidR="0068591A" w:rsidRPr="00F04902" w:rsidRDefault="00023861" w:rsidP="00673DE0">
      <w:pPr>
        <w:pStyle w:val="Heading1"/>
        <w:spacing w:before="240"/>
        <w:jc w:val="both"/>
      </w:pPr>
      <w:r>
        <w:t>Transmission Expense and Revenues</w:t>
      </w:r>
    </w:p>
    <w:p w14:paraId="464B1C79" w14:textId="7E222DA1" w:rsidR="00FA2ACC" w:rsidRPr="00FA2ACC" w:rsidRDefault="00FA2ACC" w:rsidP="00673DE0">
      <w:pPr>
        <w:pStyle w:val="Heading2"/>
        <w:jc w:val="both"/>
        <w:rPr>
          <w:b/>
        </w:rPr>
      </w:pPr>
      <w:r>
        <w:t>Should the Transource incentives adjustment account for the cost of debt included with other Federal Energy Regulatory Commission (FERC) incentives?</w:t>
      </w:r>
      <w:r w:rsidRPr="00F04902">
        <w:t xml:space="preserve"> </w:t>
      </w:r>
    </w:p>
    <w:p w14:paraId="00CD7781" w14:textId="6EC726F8" w:rsidR="00361ECE" w:rsidRPr="00A3796E" w:rsidRDefault="004E306D" w:rsidP="00673DE0">
      <w:pPr>
        <w:pStyle w:val="Heading2"/>
        <w:numPr>
          <w:ilvl w:val="0"/>
          <w:numId w:val="0"/>
        </w:numPr>
        <w:ind w:left="720"/>
        <w:jc w:val="both"/>
      </w:pPr>
      <w:r w:rsidRPr="009E68DD">
        <w:t>Should transmission revenues received from SPP OATT be reduced for the difference between FERC authorized ROE and the ROE granted in this case</w:t>
      </w:r>
      <w:r w:rsidR="00D033DC">
        <w:t>?</w:t>
      </w:r>
    </w:p>
    <w:p w14:paraId="4384FEC5" w14:textId="77777777" w:rsidR="00155F55" w:rsidRPr="005E627E" w:rsidRDefault="0070317B" w:rsidP="00673DE0">
      <w:pPr>
        <w:pStyle w:val="Heading1"/>
        <w:ind w:left="720" w:hanging="720"/>
        <w:jc w:val="both"/>
        <w:rPr>
          <w:rFonts w:eastAsiaTheme="minorHAnsi" w:cs="Arial"/>
          <w:b w:val="0"/>
          <w:sz w:val="24"/>
        </w:rPr>
      </w:pPr>
      <w:r w:rsidRPr="005E627E">
        <w:rPr>
          <w:rFonts w:cs="Arial"/>
        </w:rPr>
        <w:t>SERP</w:t>
      </w:r>
    </w:p>
    <w:p w14:paraId="0B582CEF" w14:textId="4A2D3632" w:rsidR="0070317B" w:rsidRPr="005E627E" w:rsidRDefault="0070317B" w:rsidP="00673DE0">
      <w:pPr>
        <w:pStyle w:val="Heading2"/>
        <w:jc w:val="both"/>
        <w:rPr>
          <w:rFonts w:eastAsiaTheme="minorHAnsi"/>
        </w:rPr>
      </w:pPr>
      <w:r w:rsidRPr="0068591A">
        <w:t>What</w:t>
      </w:r>
      <w:r w:rsidRPr="005E627E">
        <w:t xml:space="preserve"> level of SERP expense should be included in rates?</w:t>
      </w:r>
    </w:p>
    <w:p w14:paraId="03635BF8" w14:textId="77777777" w:rsidR="00155F55" w:rsidRPr="005E627E" w:rsidRDefault="0070317B" w:rsidP="00673DE0">
      <w:pPr>
        <w:pStyle w:val="Heading1"/>
        <w:spacing w:before="240"/>
        <w:ind w:left="720" w:hanging="720"/>
        <w:jc w:val="both"/>
        <w:rPr>
          <w:rFonts w:eastAsiaTheme="minorHAnsi" w:cs="Arial"/>
          <w:b w:val="0"/>
          <w:sz w:val="24"/>
        </w:rPr>
      </w:pPr>
      <w:r w:rsidRPr="005E627E">
        <w:rPr>
          <w:rFonts w:cs="Arial"/>
        </w:rPr>
        <w:t>Incentive Compensation:</w:t>
      </w:r>
    </w:p>
    <w:p w14:paraId="290106E9" w14:textId="77777777" w:rsidR="00155F55" w:rsidRPr="005E627E" w:rsidRDefault="0070317B" w:rsidP="00673DE0">
      <w:pPr>
        <w:pStyle w:val="Heading2"/>
        <w:jc w:val="both"/>
        <w:rPr>
          <w:rFonts w:eastAsiaTheme="minorHAnsi"/>
          <w:szCs w:val="28"/>
        </w:rPr>
      </w:pPr>
      <w:r w:rsidRPr="005E627E">
        <w:t xml:space="preserve">Should </w:t>
      </w:r>
      <w:r w:rsidRPr="0068591A">
        <w:t>the</w:t>
      </w:r>
      <w:r w:rsidRPr="005E627E">
        <w:t xml:space="preserve"> costs of Evergy’s incentive compensation be included in base rates?</w:t>
      </w:r>
    </w:p>
    <w:p w14:paraId="51177DEB" w14:textId="2D6223B8" w:rsidR="00361ECE" w:rsidRPr="005E627E" w:rsidRDefault="0070317B" w:rsidP="00673DE0">
      <w:pPr>
        <w:pStyle w:val="Heading2"/>
        <w:spacing w:after="240"/>
        <w:jc w:val="both"/>
        <w:rPr>
          <w:rFonts w:eastAsiaTheme="minorHAnsi"/>
          <w:szCs w:val="28"/>
        </w:rPr>
      </w:pPr>
      <w:r w:rsidRPr="005E627E">
        <w:t>What is the appropriate level of incentive compensation to include in rates?</w:t>
      </w:r>
    </w:p>
    <w:p w14:paraId="50E65582" w14:textId="373F8EFD" w:rsidR="00184892" w:rsidRPr="005E627E" w:rsidRDefault="00361ECE" w:rsidP="00673DE0">
      <w:pPr>
        <w:pStyle w:val="Heading1"/>
        <w:jc w:val="both"/>
        <w:rPr>
          <w:rFonts w:eastAsia="Times New Roman" w:cs="Arial"/>
          <w:color w:val="1F497D"/>
          <w:sz w:val="24"/>
          <w:szCs w:val="24"/>
        </w:rPr>
      </w:pPr>
      <w:r w:rsidRPr="005E627E">
        <w:rPr>
          <w:rFonts w:eastAsiaTheme="minorHAnsi" w:cs="Arial"/>
        </w:rPr>
        <w:t>Kansas City Earnings Tax</w:t>
      </w:r>
    </w:p>
    <w:p w14:paraId="568EFF3D" w14:textId="77777777" w:rsidR="00673DE0" w:rsidRDefault="00184892" w:rsidP="00673DE0">
      <w:pPr>
        <w:pStyle w:val="Heading2"/>
        <w:jc w:val="both"/>
        <w:rPr>
          <w:rFonts w:eastAsiaTheme="minorHAnsi" w:cs="Arial"/>
        </w:rPr>
      </w:pPr>
      <w:r w:rsidRPr="005E627E">
        <w:rPr>
          <w:rFonts w:eastAsia="Times New Roman"/>
        </w:rPr>
        <w:t xml:space="preserve">What level of Kansas City Earnings Tax Expense should the Commission </w:t>
      </w:r>
      <w:r w:rsidRPr="0068591A">
        <w:t>recognize</w:t>
      </w:r>
      <w:r w:rsidRPr="005E627E">
        <w:rPr>
          <w:rFonts w:eastAsia="Times New Roman"/>
        </w:rPr>
        <w:t xml:space="preserve"> when determining Evergy Metro’s and Evergy West’s revenue requirement?</w:t>
      </w:r>
      <w:r w:rsidR="002770E6">
        <w:rPr>
          <w:rFonts w:eastAsiaTheme="minorHAnsi" w:cs="Arial"/>
        </w:rPr>
        <w:t xml:space="preserve"> </w:t>
      </w:r>
    </w:p>
    <w:p w14:paraId="1EAE99FE" w14:textId="045BF33C" w:rsidR="00361ECE" w:rsidRPr="0068591A" w:rsidRDefault="0068591A" w:rsidP="00673DE0">
      <w:pPr>
        <w:pStyle w:val="Heading1"/>
        <w:spacing w:before="240"/>
        <w:jc w:val="both"/>
        <w:rPr>
          <w:rFonts w:eastAsiaTheme="minorHAnsi"/>
        </w:rPr>
      </w:pPr>
      <w:r>
        <w:rPr>
          <w:rFonts w:eastAsiaTheme="minorHAnsi"/>
        </w:rPr>
        <w:t>Bad D</w:t>
      </w:r>
      <w:r w:rsidR="00361ECE" w:rsidRPr="0068591A">
        <w:rPr>
          <w:rFonts w:eastAsiaTheme="minorHAnsi"/>
        </w:rPr>
        <w:t xml:space="preserve">ebt </w:t>
      </w:r>
      <w:r w:rsidRPr="0068591A">
        <w:rPr>
          <w:rFonts w:eastAsiaTheme="minorHAnsi"/>
        </w:rPr>
        <w:t>Expense</w:t>
      </w:r>
    </w:p>
    <w:p w14:paraId="35B5D0FC" w14:textId="4C17AB79" w:rsidR="0068591A" w:rsidRPr="0068591A" w:rsidRDefault="0068591A" w:rsidP="00673DE0">
      <w:pPr>
        <w:pStyle w:val="Heading2"/>
        <w:jc w:val="both"/>
      </w:pPr>
      <w:r w:rsidRPr="0068591A">
        <w:t xml:space="preserve">Should bad debt expense be grossed-up for the revenue requirement change the Commission finds for </w:t>
      </w:r>
      <w:r>
        <w:t>Evergy Metro and Evergy West</w:t>
      </w:r>
      <w:r w:rsidRPr="0068591A">
        <w:t xml:space="preserve"> in these cases? </w:t>
      </w:r>
    </w:p>
    <w:p w14:paraId="1B1F3388" w14:textId="2686405B" w:rsidR="0068591A" w:rsidRDefault="0068591A" w:rsidP="00673DE0">
      <w:pPr>
        <w:pStyle w:val="Heading2"/>
        <w:jc w:val="both"/>
      </w:pPr>
      <w:r w:rsidRPr="0068591A">
        <w:t>What level of bad debt expense should the Commission recognize in each company’s revenue requirement</w:t>
      </w:r>
      <w:r>
        <w:t>?</w:t>
      </w:r>
    </w:p>
    <w:p w14:paraId="29CB7799" w14:textId="13999929" w:rsidR="0068591A" w:rsidRPr="00AB26D0" w:rsidRDefault="006669CE" w:rsidP="00673DE0">
      <w:pPr>
        <w:pStyle w:val="Heading2"/>
        <w:spacing w:after="240"/>
        <w:jc w:val="both"/>
      </w:pPr>
      <w:r>
        <w:t>Should Evergy Metro and Evergy West institute a tracking mechanism for bad debt expense?</w:t>
      </w:r>
    </w:p>
    <w:p w14:paraId="2B56754C" w14:textId="77777777" w:rsidR="00361ECE" w:rsidRPr="00184892" w:rsidRDefault="00361ECE" w:rsidP="00673DE0">
      <w:pPr>
        <w:pStyle w:val="Heading1"/>
        <w:jc w:val="both"/>
        <w:rPr>
          <w:rFonts w:cs="Arial"/>
        </w:rPr>
      </w:pPr>
      <w:r w:rsidRPr="00184892">
        <w:rPr>
          <w:rFonts w:cs="Arial"/>
        </w:rPr>
        <w:t xml:space="preserve">Dues and Donations </w:t>
      </w:r>
    </w:p>
    <w:p w14:paraId="58AA625B" w14:textId="419A1800" w:rsidR="00184892" w:rsidRPr="002E5C5D" w:rsidRDefault="00184892" w:rsidP="00673DE0">
      <w:pPr>
        <w:pStyle w:val="Heading2"/>
        <w:ind w:left="1440" w:hanging="720"/>
        <w:jc w:val="both"/>
        <w:rPr>
          <w:rFonts w:cs="Arial"/>
        </w:rPr>
      </w:pPr>
      <w:r w:rsidRPr="00C31A78">
        <w:rPr>
          <w:rFonts w:cs="Arial"/>
        </w:rPr>
        <w:t xml:space="preserve">What level of dues and donations expense should the Commission recognize in </w:t>
      </w:r>
      <w:r>
        <w:rPr>
          <w:rFonts w:cs="Arial"/>
        </w:rPr>
        <w:t>Evergy Metro</w:t>
      </w:r>
      <w:r w:rsidRPr="00C31A78">
        <w:rPr>
          <w:rFonts w:cs="Arial"/>
        </w:rPr>
        <w:t xml:space="preserve">’s </w:t>
      </w:r>
      <w:r>
        <w:rPr>
          <w:rFonts w:cs="Arial"/>
        </w:rPr>
        <w:t xml:space="preserve">and Evergy West’s </w:t>
      </w:r>
      <w:r w:rsidRPr="00C31A78">
        <w:rPr>
          <w:rFonts w:cs="Arial"/>
        </w:rPr>
        <w:t>revenue requirement</w:t>
      </w:r>
      <w:r>
        <w:rPr>
          <w:rFonts w:cs="Arial"/>
        </w:rPr>
        <w:t>s</w:t>
      </w:r>
      <w:r w:rsidRPr="00C31A78">
        <w:rPr>
          <w:rFonts w:cs="Arial"/>
        </w:rPr>
        <w:t>?</w:t>
      </w:r>
    </w:p>
    <w:p w14:paraId="3306549B" w14:textId="3DD90CF4" w:rsidR="00361ECE" w:rsidRPr="002E5C5D" w:rsidRDefault="00184892" w:rsidP="00673DE0">
      <w:pPr>
        <w:pStyle w:val="Heading2"/>
        <w:spacing w:after="240"/>
        <w:ind w:left="1440" w:hanging="720"/>
        <w:jc w:val="both"/>
        <w:rPr>
          <w:rFonts w:cs="Arial"/>
        </w:rPr>
      </w:pPr>
      <w:r w:rsidRPr="00C31A78">
        <w:rPr>
          <w:rFonts w:cs="Arial"/>
        </w:rPr>
        <w:t>What level of Edison Electric Institute expense should the Commission recognize in KCPL’s</w:t>
      </w:r>
      <w:r>
        <w:rPr>
          <w:rFonts w:cs="Arial"/>
        </w:rPr>
        <w:t xml:space="preserve"> and GMO’s</w:t>
      </w:r>
      <w:r w:rsidRPr="00C31A78">
        <w:rPr>
          <w:rFonts w:cs="Arial"/>
        </w:rPr>
        <w:t xml:space="preserve"> revenue requirement</w:t>
      </w:r>
      <w:r>
        <w:rPr>
          <w:rFonts w:cs="Arial"/>
        </w:rPr>
        <w:t>s</w:t>
      </w:r>
      <w:r w:rsidRPr="00C31A78">
        <w:rPr>
          <w:rFonts w:cs="Arial"/>
        </w:rPr>
        <w:t>?</w:t>
      </w:r>
    </w:p>
    <w:p w14:paraId="7D47F056" w14:textId="77777777" w:rsidR="00126368" w:rsidRPr="002E5C5D" w:rsidRDefault="00126368" w:rsidP="00673DE0">
      <w:pPr>
        <w:pStyle w:val="Heading1"/>
        <w:spacing w:before="240"/>
        <w:ind w:left="720" w:hanging="720"/>
        <w:jc w:val="both"/>
        <w:rPr>
          <w:rFonts w:cs="Arial"/>
          <w:b w:val="0"/>
          <w:sz w:val="24"/>
          <w:szCs w:val="24"/>
        </w:rPr>
      </w:pPr>
      <w:r w:rsidRPr="002E5C5D">
        <w:rPr>
          <w:rFonts w:cs="Arial"/>
        </w:rPr>
        <w:t>Rate Case Expense</w:t>
      </w:r>
    </w:p>
    <w:p w14:paraId="1A58FB8F" w14:textId="29C1723A" w:rsidR="00361ECE" w:rsidRPr="002E5C5D" w:rsidRDefault="00126368" w:rsidP="00673DE0">
      <w:pPr>
        <w:pStyle w:val="Heading2"/>
        <w:spacing w:after="240"/>
        <w:jc w:val="both"/>
      </w:pPr>
      <w:r w:rsidRPr="002E5C5D">
        <w:t>What level of rate case expense should be included in rates?</w:t>
      </w:r>
    </w:p>
    <w:p w14:paraId="0E1075CE" w14:textId="77777777" w:rsidR="007703AC" w:rsidRPr="002E5C5D" w:rsidRDefault="00361ECE" w:rsidP="00673DE0">
      <w:pPr>
        <w:pStyle w:val="Heading1"/>
        <w:jc w:val="both"/>
        <w:rPr>
          <w:rFonts w:cs="Arial"/>
          <w:b w:val="0"/>
          <w:sz w:val="24"/>
          <w:szCs w:val="24"/>
        </w:rPr>
      </w:pPr>
      <w:r w:rsidRPr="002E5C5D">
        <w:rPr>
          <w:rFonts w:cs="Arial"/>
        </w:rPr>
        <w:t>Depreciation</w:t>
      </w:r>
    </w:p>
    <w:p w14:paraId="7D045E8A" w14:textId="77777777" w:rsidR="007703AC" w:rsidRPr="002E5C5D" w:rsidRDefault="007703AC" w:rsidP="00673DE0">
      <w:pPr>
        <w:pStyle w:val="Heading2"/>
        <w:jc w:val="both"/>
        <w:rPr>
          <w:szCs w:val="24"/>
        </w:rPr>
      </w:pPr>
      <w:r w:rsidRPr="002E5C5D">
        <w:t xml:space="preserve">What depreciation rates </w:t>
      </w:r>
      <w:r w:rsidRPr="0068591A">
        <w:t>should</w:t>
      </w:r>
      <w:r w:rsidRPr="002E5C5D">
        <w:t xml:space="preserve"> be ordered?</w:t>
      </w:r>
    </w:p>
    <w:p w14:paraId="1238258C" w14:textId="77777777" w:rsidR="007703AC" w:rsidRPr="002E5C5D" w:rsidRDefault="007703AC" w:rsidP="00673DE0">
      <w:pPr>
        <w:pStyle w:val="Heading3"/>
        <w:jc w:val="both"/>
      </w:pPr>
      <w:r w:rsidRPr="002E5C5D">
        <w:t xml:space="preserve">Should </w:t>
      </w:r>
      <w:r w:rsidRPr="0068591A">
        <w:t>terminal</w:t>
      </w:r>
      <w:r w:rsidRPr="002E5C5D">
        <w:t xml:space="preserve"> net salvage be included in rates?</w:t>
      </w:r>
    </w:p>
    <w:p w14:paraId="16E86809" w14:textId="6FC65600" w:rsidR="00361ECE" w:rsidRDefault="007703AC" w:rsidP="00673DE0">
      <w:pPr>
        <w:pStyle w:val="Heading3"/>
        <w:jc w:val="both"/>
      </w:pPr>
      <w:r w:rsidRPr="002E5C5D">
        <w:t xml:space="preserve">What </w:t>
      </w:r>
      <w:r w:rsidRPr="0068591A">
        <w:t>should</w:t>
      </w:r>
      <w:r w:rsidRPr="002E5C5D">
        <w:t xml:space="preserve"> the reserve balances for steam production accounts </w:t>
      </w:r>
      <w:r w:rsidRPr="004E306D">
        <w:t>be?</w:t>
      </w:r>
    </w:p>
    <w:p w14:paraId="26DE2015" w14:textId="139B99B1" w:rsidR="00B90877" w:rsidRPr="00B90877" w:rsidRDefault="00B90877" w:rsidP="00673DE0">
      <w:pPr>
        <w:pStyle w:val="Heading3"/>
        <w:jc w:val="both"/>
      </w:pPr>
      <w:r>
        <w:lastRenderedPageBreak/>
        <w:t>What reserve balances should be used for purposes of determining depreciation expense for Evergy?</w:t>
      </w:r>
    </w:p>
    <w:p w14:paraId="06976B54" w14:textId="4FB280FD" w:rsidR="00B90877" w:rsidRDefault="00741ACB" w:rsidP="00673DE0">
      <w:pPr>
        <w:pStyle w:val="Heading2"/>
        <w:jc w:val="both"/>
      </w:pPr>
      <w:r>
        <w:t>Should the Commission permit Evergy to increase the Wolf Creek nuclear generation depreciation expenses? (M</w:t>
      </w:r>
      <w:r w:rsidR="00B90877">
        <w:t>etro</w:t>
      </w:r>
      <w:r>
        <w:t>)</w:t>
      </w:r>
    </w:p>
    <w:p w14:paraId="0E0B3D62" w14:textId="2956F7BE" w:rsidR="00B90877" w:rsidRPr="00B90877" w:rsidRDefault="00B90877" w:rsidP="00673DE0">
      <w:pPr>
        <w:pStyle w:val="Heading2"/>
        <w:jc w:val="both"/>
      </w:pPr>
      <w:r>
        <w:t>What is the remaining net book value for the Montrose generating facility and how should it be treated?</w:t>
      </w:r>
    </w:p>
    <w:p w14:paraId="53C6BF93" w14:textId="5FCF81BE" w:rsidR="00B90877" w:rsidRPr="00B90877" w:rsidRDefault="00B90877" w:rsidP="00673DE0">
      <w:pPr>
        <w:pStyle w:val="Heading1"/>
        <w:spacing w:before="240"/>
        <w:jc w:val="both"/>
      </w:pPr>
      <w:r>
        <w:t>Rate Base</w:t>
      </w:r>
    </w:p>
    <w:p w14:paraId="1D58F50F" w14:textId="4510E6C3" w:rsidR="00B90877" w:rsidRDefault="00B90877" w:rsidP="00673DE0">
      <w:pPr>
        <w:pStyle w:val="Heading2"/>
        <w:jc w:val="both"/>
      </w:pPr>
      <w:r>
        <w:t xml:space="preserve"> Should Evergy recognize any net operating loss as a reduction to rate base?</w:t>
      </w:r>
    </w:p>
    <w:p w14:paraId="78BE12CB" w14:textId="5FC60158" w:rsidR="00B90877" w:rsidRDefault="00B90877" w:rsidP="00673DE0">
      <w:pPr>
        <w:pStyle w:val="Heading2"/>
        <w:jc w:val="both"/>
      </w:pPr>
      <w:r>
        <w:t xml:space="preserve">Should Evergy be permitted to recover the costs of its ONE CIS/CFP investments in rates? </w:t>
      </w:r>
    </w:p>
    <w:p w14:paraId="4F77236F" w14:textId="10C049D5" w:rsidR="00741ACB" w:rsidRDefault="00B90877" w:rsidP="00673DE0">
      <w:pPr>
        <w:pStyle w:val="Heading3"/>
        <w:jc w:val="both"/>
      </w:pPr>
      <w:r>
        <w:t>How should costs related to the ONE CIS/CFP investments be allocated to plant in service accounts among the related Evergy utilities?</w:t>
      </w:r>
      <w:r w:rsidRPr="00647457">
        <w:t xml:space="preserve"> </w:t>
      </w:r>
    </w:p>
    <w:p w14:paraId="3BDD30BE" w14:textId="20FC75E9" w:rsidR="006E5EE8" w:rsidRPr="006E5EE8" w:rsidRDefault="006E5EE8" w:rsidP="00673DE0">
      <w:pPr>
        <w:pStyle w:val="Heading2"/>
        <w:spacing w:after="240"/>
        <w:jc w:val="both"/>
      </w:pPr>
      <w:r>
        <w:rPr>
          <w:rFonts w:cs="Arial"/>
          <w:szCs w:val="24"/>
        </w:rPr>
        <w:t>Has Evergy met its burden of proof to permit recovery from ratepayers of capital and O&amp;M costs proposed in the test year for Iatan Unit 1, Jeffrey Units 1-3, and La Cygne Units 1 and 2?</w:t>
      </w:r>
    </w:p>
    <w:p w14:paraId="687AE4E0" w14:textId="77777777" w:rsidR="004E306D" w:rsidRPr="004E306D" w:rsidRDefault="00361ECE" w:rsidP="00673DE0">
      <w:pPr>
        <w:pStyle w:val="Heading1"/>
        <w:jc w:val="both"/>
      </w:pPr>
      <w:r w:rsidRPr="004E306D">
        <w:rPr>
          <w:rFonts w:cs="Arial"/>
        </w:rPr>
        <w:t xml:space="preserve">Greenwood Solar Energy Center — </w:t>
      </w:r>
    </w:p>
    <w:p w14:paraId="354EBAB1" w14:textId="4BE73327" w:rsidR="004E306D" w:rsidRDefault="004E306D" w:rsidP="00673DE0">
      <w:pPr>
        <w:pStyle w:val="Heading2"/>
        <w:jc w:val="both"/>
      </w:pPr>
      <w:r w:rsidRPr="004E306D">
        <w:t>Should the Commission allocate any of the</w:t>
      </w:r>
      <w:r w:rsidR="00AB26D0">
        <w:t xml:space="preserve"> energy,</w:t>
      </w:r>
      <w:r w:rsidRPr="004E306D">
        <w:t xml:space="preserve"> capital costs, operating and maintenance costs, etc., attributable to the Greenwood Solar Energy Center between Evergy Metro and Evergy West? </w:t>
      </w:r>
    </w:p>
    <w:p w14:paraId="31D6EC52" w14:textId="19A0F346" w:rsidR="00361ECE" w:rsidRPr="00AB26D0" w:rsidRDefault="004E306D" w:rsidP="00673DE0">
      <w:pPr>
        <w:pStyle w:val="Heading3"/>
        <w:spacing w:after="240"/>
        <w:jc w:val="both"/>
      </w:pPr>
      <w:r w:rsidRPr="004E306D">
        <w:t>If so, how should it be allocated?</w:t>
      </w:r>
    </w:p>
    <w:p w14:paraId="1CF586DC" w14:textId="020B874B" w:rsidR="00A32C62" w:rsidRPr="00A32C62" w:rsidRDefault="00023861" w:rsidP="00673DE0">
      <w:pPr>
        <w:pStyle w:val="Heading1"/>
        <w:jc w:val="both"/>
        <w:rPr>
          <w:rFonts w:cs="Arial"/>
        </w:rPr>
      </w:pPr>
      <w:r>
        <w:rPr>
          <w:rFonts w:eastAsiaTheme="minorHAnsi" w:cs="Arial"/>
        </w:rPr>
        <w:t>Revenues</w:t>
      </w:r>
    </w:p>
    <w:p w14:paraId="7DB2060D" w14:textId="11D2885C" w:rsidR="00A32C62" w:rsidRPr="00A32C62" w:rsidRDefault="00A32C62" w:rsidP="00673DE0">
      <w:pPr>
        <w:pStyle w:val="Heading2"/>
        <w:jc w:val="both"/>
        <w:rPr>
          <w:rFonts w:cs="Arial"/>
        </w:rPr>
      </w:pPr>
      <w:r w:rsidRPr="00A32C62">
        <w:t xml:space="preserve">Should the billing determinants developed by Staff or the billing determinants developed by </w:t>
      </w:r>
      <w:r>
        <w:t>Evergy</w:t>
      </w:r>
      <w:r w:rsidRPr="00A32C62">
        <w:t xml:space="preserve"> serve as the basis for any further adjustments ordered in these cases?</w:t>
      </w:r>
    </w:p>
    <w:p w14:paraId="675F26A8" w14:textId="77777777" w:rsidR="00A32C62" w:rsidRPr="00A32C62" w:rsidRDefault="00A32C62" w:rsidP="00673DE0">
      <w:pPr>
        <w:pStyle w:val="Heading2"/>
        <w:jc w:val="both"/>
        <w:rPr>
          <w:rFonts w:cs="Arial"/>
        </w:rPr>
      </w:pPr>
      <w:r w:rsidRPr="00A32C62">
        <w:t>What methodology should be utilized to measure customer growth?</w:t>
      </w:r>
    </w:p>
    <w:p w14:paraId="02F54E3E" w14:textId="77777777" w:rsidR="00A32C62" w:rsidRPr="00A32C62" w:rsidRDefault="00A32C62" w:rsidP="00673DE0">
      <w:pPr>
        <w:pStyle w:val="Heading2"/>
        <w:jc w:val="both"/>
        <w:rPr>
          <w:rFonts w:cs="Arial"/>
        </w:rPr>
      </w:pPr>
      <w:r w:rsidRPr="00A32C62">
        <w:t>Should net metering and parallel generation customer usage be adjusted for weather normalization?</w:t>
      </w:r>
    </w:p>
    <w:p w14:paraId="3B17CA09" w14:textId="77777777" w:rsidR="00A32C62" w:rsidRPr="00A32C62" w:rsidRDefault="00A32C62" w:rsidP="00673DE0">
      <w:pPr>
        <w:pStyle w:val="Heading2"/>
        <w:jc w:val="both"/>
        <w:rPr>
          <w:rFonts w:cs="Arial"/>
        </w:rPr>
      </w:pPr>
      <w:r w:rsidRPr="00A32C62">
        <w:t>Should net metering and parallel generation customers be in a separate code by themselves?</w:t>
      </w:r>
    </w:p>
    <w:p w14:paraId="088FE49E" w14:textId="0CEAAB2E" w:rsidR="00361ECE" w:rsidRDefault="00A32C62" w:rsidP="00673DE0">
      <w:pPr>
        <w:pStyle w:val="Heading2"/>
        <w:jc w:val="both"/>
      </w:pPr>
      <w:r w:rsidRPr="00A32C62">
        <w:t>Should the Company’s proposal of the seasonal bill period for Evergy Missouri Metro be approved and if so, what revenue impact should be applied?</w:t>
      </w:r>
      <w:r>
        <w:t xml:space="preserve"> (Metro Only)</w:t>
      </w:r>
    </w:p>
    <w:p w14:paraId="21B5B6E4" w14:textId="5DBBE642" w:rsidR="00023861" w:rsidRPr="00023861" w:rsidRDefault="00023861" w:rsidP="00673DE0">
      <w:pPr>
        <w:pStyle w:val="Heading2"/>
        <w:spacing w:after="240"/>
        <w:jc w:val="both"/>
      </w:pPr>
      <w:r>
        <w:t>What if any further adjustments to revenues and billing determinants should be made for MEEIA Cycle</w:t>
      </w:r>
      <w:r>
        <w:rPr>
          <w:spacing w:val="-6"/>
        </w:rPr>
        <w:t xml:space="preserve"> </w:t>
      </w:r>
      <w:r>
        <w:t>2?</w:t>
      </w:r>
    </w:p>
    <w:p w14:paraId="13424510" w14:textId="77777777" w:rsidR="00361ECE" w:rsidRPr="00FA2ACC" w:rsidRDefault="00361ECE" w:rsidP="00673DE0">
      <w:pPr>
        <w:pStyle w:val="Heading1"/>
        <w:jc w:val="both"/>
        <w:rPr>
          <w:rFonts w:cs="Arial"/>
        </w:rPr>
      </w:pPr>
      <w:r w:rsidRPr="00FA2ACC">
        <w:rPr>
          <w:rFonts w:cs="Arial"/>
        </w:rPr>
        <w:t>Rate Design/Class Cost of Service</w:t>
      </w:r>
    </w:p>
    <w:p w14:paraId="2ADF0FC1" w14:textId="2678B020" w:rsidR="00401673" w:rsidRDefault="00401673" w:rsidP="00673DE0">
      <w:pPr>
        <w:pStyle w:val="Heading2"/>
        <w:jc w:val="both"/>
        <w:rPr>
          <w:rFonts w:eastAsia="Times New Roman"/>
        </w:rPr>
      </w:pPr>
      <w:r>
        <w:rPr>
          <w:rFonts w:eastAsia="Times New Roman"/>
        </w:rPr>
        <w:t xml:space="preserve">What is the appropriate allocation of revenue requirement among the rate </w:t>
      </w:r>
      <w:r w:rsidR="00124C67">
        <w:rPr>
          <w:rFonts w:eastAsia="Times New Roman"/>
        </w:rPr>
        <w:t xml:space="preserve">classes </w:t>
      </w:r>
      <w:r>
        <w:rPr>
          <w:rFonts w:eastAsia="Times New Roman"/>
        </w:rPr>
        <w:t>of each company?</w:t>
      </w:r>
    </w:p>
    <w:p w14:paraId="4A6C3AFA" w14:textId="4CF82912" w:rsidR="00401673" w:rsidRDefault="00401673" w:rsidP="00673DE0">
      <w:pPr>
        <w:pStyle w:val="Heading2"/>
        <w:jc w:val="both"/>
        <w:rPr>
          <w:rFonts w:eastAsia="Times New Roman"/>
        </w:rPr>
      </w:pPr>
      <w:r>
        <w:rPr>
          <w:rFonts w:eastAsia="Times New Roman"/>
        </w:rPr>
        <w:t>What are the appropriate rate schedules, rate struct</w:t>
      </w:r>
      <w:r w:rsidR="005741EC">
        <w:rPr>
          <w:rFonts w:eastAsia="Times New Roman"/>
        </w:rPr>
        <w:t>ures, and rate designs for the non-r</w:t>
      </w:r>
      <w:r>
        <w:rPr>
          <w:rFonts w:eastAsia="Times New Roman"/>
        </w:rPr>
        <w:t>esid</w:t>
      </w:r>
      <w:r w:rsidR="005741EC">
        <w:rPr>
          <w:rFonts w:eastAsia="Times New Roman"/>
        </w:rPr>
        <w:t>ential customers of each company</w:t>
      </w:r>
      <w:r>
        <w:rPr>
          <w:rFonts w:eastAsia="Times New Roman"/>
        </w:rPr>
        <w:t>?</w:t>
      </w:r>
    </w:p>
    <w:p w14:paraId="674C6EAE" w14:textId="55275D4F" w:rsidR="00D450CA" w:rsidRPr="009475FD" w:rsidRDefault="00D450CA" w:rsidP="00673DE0">
      <w:pPr>
        <w:pStyle w:val="Heading2"/>
        <w:jc w:val="both"/>
        <w:rPr>
          <w:b/>
        </w:rPr>
      </w:pPr>
      <w:r>
        <w:t>For the Large Power Class should the Commission require the company to have voltage differentials for the winter seasonal energy charges? (W</w:t>
      </w:r>
      <w:r w:rsidR="00673DE0">
        <w:t>est</w:t>
      </w:r>
      <w:r>
        <w:t xml:space="preserve"> only)</w:t>
      </w:r>
    </w:p>
    <w:p w14:paraId="351F56D2" w14:textId="77777777" w:rsidR="00401673" w:rsidRDefault="00401673" w:rsidP="00673DE0">
      <w:pPr>
        <w:pStyle w:val="Heading2"/>
        <w:jc w:val="both"/>
        <w:rPr>
          <w:rFonts w:eastAsia="Times New Roman"/>
        </w:rPr>
      </w:pPr>
      <w:r>
        <w:rPr>
          <w:rFonts w:eastAsia="Times New Roman"/>
        </w:rPr>
        <w:lastRenderedPageBreak/>
        <w:t>What are the appropriate rate schedules, rate structures, and rate designs for the Residential customers of each utility?</w:t>
      </w:r>
    </w:p>
    <w:p w14:paraId="66FE5CCF" w14:textId="0A5C0A04" w:rsidR="00A96008" w:rsidRDefault="00A96008" w:rsidP="00673DE0">
      <w:pPr>
        <w:pStyle w:val="Heading3"/>
        <w:jc w:val="both"/>
      </w:pPr>
      <w:r w:rsidRPr="003650B6">
        <w:t>What is the appropriate residential customer charge?</w:t>
      </w:r>
    </w:p>
    <w:p w14:paraId="73654BE3" w14:textId="736AE5CA" w:rsidR="00D36AEB" w:rsidRPr="003650B6" w:rsidRDefault="00D36AEB" w:rsidP="00673DE0">
      <w:pPr>
        <w:pStyle w:val="Heading2"/>
        <w:jc w:val="both"/>
      </w:pPr>
      <w:r>
        <w:t>W</w:t>
      </w:r>
      <w:r w:rsidRPr="003650B6">
        <w:t>hat measures are appropriate to facilitate implementation</w:t>
      </w:r>
      <w:r>
        <w:t xml:space="preserve"> of </w:t>
      </w:r>
      <w:r w:rsidRPr="003650B6">
        <w:t>the appropriate default or mandatory rate structure, rate design, and tariff language for each rate schedule?</w:t>
      </w:r>
    </w:p>
    <w:p w14:paraId="101D3416" w14:textId="17D13A02" w:rsidR="00D36AEB" w:rsidRPr="003650B6" w:rsidRDefault="00D36AEB" w:rsidP="00673DE0">
      <w:pPr>
        <w:pStyle w:val="Heading2"/>
        <w:jc w:val="both"/>
      </w:pPr>
      <w:r>
        <w:t>Should the C</w:t>
      </w:r>
      <w:r w:rsidRPr="003650B6">
        <w:t>ompany’s proposed Time of Use rate schedules be implemented on an opt-in basis?</w:t>
      </w:r>
    </w:p>
    <w:p w14:paraId="7274F868" w14:textId="73D7F32C" w:rsidR="00D36AEB" w:rsidRDefault="00D36AEB" w:rsidP="00673DE0">
      <w:pPr>
        <w:pStyle w:val="Heading2"/>
        <w:jc w:val="both"/>
      </w:pPr>
      <w:r w:rsidRPr="003650B6">
        <w:t>Should the Staff’s proposed Time of Use rate schedules be implemented on a mandatory basis?</w:t>
      </w:r>
    </w:p>
    <w:p w14:paraId="2D290292" w14:textId="788558EA" w:rsidR="00D914F0" w:rsidRPr="00D914F0" w:rsidRDefault="00D914F0" w:rsidP="00673DE0">
      <w:pPr>
        <w:pStyle w:val="Heading2"/>
        <w:jc w:val="both"/>
      </w:pPr>
      <w:r>
        <w:t>Should the Commission order the Company to conduct a comprehensive study to determine how to offer Time of Use rates to all customers, including customers with net metered solar and other forms of distributed generation?</w:t>
      </w:r>
    </w:p>
    <w:p w14:paraId="10F16DD8" w14:textId="77777777" w:rsidR="00401673" w:rsidRDefault="00401673" w:rsidP="00673DE0">
      <w:pPr>
        <w:pStyle w:val="Heading2"/>
        <w:jc w:val="both"/>
        <w:rPr>
          <w:rFonts w:eastAsia="Times New Roman"/>
        </w:rPr>
      </w:pPr>
      <w:r>
        <w:rPr>
          <w:rFonts w:eastAsia="Times New Roman"/>
        </w:rPr>
        <w:t>Should Staff’s recommended data retention measures be ordered?</w:t>
      </w:r>
    </w:p>
    <w:p w14:paraId="190FB0DE" w14:textId="07F4E6DC" w:rsidR="00401673" w:rsidRDefault="006669CE" w:rsidP="00673DE0">
      <w:pPr>
        <w:pStyle w:val="Heading2"/>
        <w:jc w:val="both"/>
        <w:rPr>
          <w:rFonts w:eastAsia="Times New Roman"/>
        </w:rPr>
      </w:pPr>
      <w:r>
        <w:rPr>
          <w:rFonts w:eastAsia="Times New Roman"/>
        </w:rPr>
        <w:t>Should the following updates</w:t>
      </w:r>
      <w:r w:rsidR="00401673">
        <w:rPr>
          <w:rFonts w:eastAsia="Times New Roman"/>
        </w:rPr>
        <w:t xml:space="preserve"> be ordered for the compliance tariff filings in these cases?</w:t>
      </w:r>
    </w:p>
    <w:p w14:paraId="0A00ED5F" w14:textId="77777777" w:rsidR="00401673" w:rsidRPr="006669CE" w:rsidRDefault="00401673" w:rsidP="00673DE0">
      <w:pPr>
        <w:numPr>
          <w:ilvl w:val="1"/>
          <w:numId w:val="38"/>
        </w:numPr>
        <w:spacing w:after="0" w:line="240" w:lineRule="auto"/>
        <w:jc w:val="both"/>
        <w:rPr>
          <w:rFonts w:ascii="Arial" w:eastAsia="Times New Roman" w:hAnsi="Arial" w:cs="Arial"/>
          <w:color w:val="000000" w:themeColor="text1"/>
          <w:sz w:val="24"/>
          <w:szCs w:val="24"/>
        </w:rPr>
      </w:pPr>
      <w:r w:rsidRPr="006669CE">
        <w:rPr>
          <w:rFonts w:ascii="Arial" w:eastAsia="Times New Roman" w:hAnsi="Arial" w:cs="Arial"/>
          <w:color w:val="000000" w:themeColor="text1"/>
          <w:sz w:val="24"/>
          <w:szCs w:val="24"/>
        </w:rPr>
        <w:t>Update MEEIA margin rates.</w:t>
      </w:r>
    </w:p>
    <w:p w14:paraId="609F1C3E" w14:textId="77777777" w:rsidR="00401673" w:rsidRPr="006669CE" w:rsidRDefault="00401673" w:rsidP="00673DE0">
      <w:pPr>
        <w:numPr>
          <w:ilvl w:val="1"/>
          <w:numId w:val="38"/>
        </w:numPr>
        <w:spacing w:after="0" w:line="240" w:lineRule="auto"/>
        <w:jc w:val="both"/>
        <w:rPr>
          <w:rFonts w:ascii="Arial" w:eastAsia="Times New Roman" w:hAnsi="Arial" w:cs="Arial"/>
          <w:color w:val="000000" w:themeColor="text1"/>
          <w:sz w:val="24"/>
          <w:szCs w:val="24"/>
        </w:rPr>
      </w:pPr>
      <w:r w:rsidRPr="006669CE">
        <w:rPr>
          <w:rFonts w:ascii="Arial" w:eastAsia="Times New Roman" w:hAnsi="Arial" w:cs="Arial"/>
          <w:color w:val="000000" w:themeColor="text1"/>
          <w:sz w:val="24"/>
          <w:szCs w:val="24"/>
        </w:rPr>
        <w:t>Update Standby Service Rider rates consistent with changes made to underlying rate schedules.</w:t>
      </w:r>
    </w:p>
    <w:p w14:paraId="530B6258" w14:textId="77777777" w:rsidR="00401673" w:rsidRPr="006669CE" w:rsidRDefault="00401673" w:rsidP="00673DE0">
      <w:pPr>
        <w:numPr>
          <w:ilvl w:val="1"/>
          <w:numId w:val="38"/>
        </w:numPr>
        <w:spacing w:after="0" w:line="240" w:lineRule="auto"/>
        <w:jc w:val="both"/>
        <w:rPr>
          <w:rFonts w:ascii="Arial" w:eastAsia="Times New Roman" w:hAnsi="Arial" w:cs="Arial"/>
          <w:color w:val="000000" w:themeColor="text1"/>
          <w:sz w:val="24"/>
          <w:szCs w:val="24"/>
        </w:rPr>
      </w:pPr>
      <w:r w:rsidRPr="006669CE">
        <w:rPr>
          <w:rFonts w:ascii="Arial" w:eastAsia="Times New Roman" w:hAnsi="Arial" w:cs="Arial"/>
          <w:color w:val="000000" w:themeColor="text1"/>
          <w:sz w:val="24"/>
          <w:szCs w:val="24"/>
        </w:rPr>
        <w:t>Update Community Solar distribution service rates.</w:t>
      </w:r>
    </w:p>
    <w:p w14:paraId="3A6C52E7" w14:textId="483E6099" w:rsidR="002770E6" w:rsidRDefault="00401673" w:rsidP="00673DE0">
      <w:pPr>
        <w:numPr>
          <w:ilvl w:val="1"/>
          <w:numId w:val="38"/>
        </w:numPr>
        <w:spacing w:after="0" w:line="240" w:lineRule="auto"/>
        <w:jc w:val="both"/>
        <w:rPr>
          <w:rFonts w:ascii="Arial" w:eastAsia="Times New Roman" w:hAnsi="Arial" w:cs="Arial"/>
          <w:color w:val="000000" w:themeColor="text1"/>
          <w:sz w:val="24"/>
          <w:szCs w:val="24"/>
        </w:rPr>
      </w:pPr>
      <w:r w:rsidRPr="006669CE">
        <w:rPr>
          <w:rFonts w:ascii="Arial" w:eastAsia="Times New Roman" w:hAnsi="Arial" w:cs="Arial"/>
          <w:color w:val="000000" w:themeColor="text1"/>
          <w:sz w:val="24"/>
          <w:szCs w:val="24"/>
        </w:rPr>
        <w:t>Update Clean Charge Network rates, and other miscellaneous rate schedules to coincide with the overall ordered percentage increase.</w:t>
      </w:r>
    </w:p>
    <w:p w14:paraId="1C0C99C9" w14:textId="7EA9C3D0" w:rsidR="002770E6" w:rsidRDefault="002770E6" w:rsidP="00673DE0">
      <w:pPr>
        <w:pStyle w:val="Heading2"/>
        <w:jc w:val="both"/>
      </w:pPr>
      <w:r>
        <w:t>Should the Commission order Evergy to meet with stakeholders related to its rate modernization plan within 180 days after the effective date of rates in this case?</w:t>
      </w:r>
    </w:p>
    <w:p w14:paraId="51C9F25B" w14:textId="28AAF60E" w:rsidR="002770E6" w:rsidRPr="009475FD" w:rsidRDefault="002770E6" w:rsidP="00673DE0">
      <w:pPr>
        <w:pStyle w:val="Heading2"/>
        <w:jc w:val="both"/>
      </w:pPr>
      <w:r>
        <w:t xml:space="preserve">Should Evergy work to improve the education of its customers regarding the billing options and rate plans it has currently?  </w:t>
      </w:r>
    </w:p>
    <w:p w14:paraId="693D6F09" w14:textId="77777777" w:rsidR="00D36AEB" w:rsidRPr="003650B6" w:rsidRDefault="00D36AEB" w:rsidP="00673DE0">
      <w:pPr>
        <w:pStyle w:val="Heading1"/>
        <w:spacing w:before="240"/>
        <w:jc w:val="both"/>
      </w:pPr>
      <w:r w:rsidRPr="003650B6">
        <w:t>Time of Use Education and Marketing</w:t>
      </w:r>
    </w:p>
    <w:p w14:paraId="74D9A0A1" w14:textId="77777777" w:rsidR="00D36AEB" w:rsidRPr="003650B6" w:rsidRDefault="00D36AEB" w:rsidP="00673DE0">
      <w:pPr>
        <w:pStyle w:val="Heading2"/>
        <w:jc w:val="both"/>
      </w:pPr>
      <w:r w:rsidRPr="003650B6">
        <w:t>Should the Commission disallow $1</w:t>
      </w:r>
      <w:r>
        <w:t xml:space="preserve"> </w:t>
      </w:r>
      <w:r w:rsidRPr="003650B6">
        <w:t>m</w:t>
      </w:r>
      <w:r>
        <w:t>illion</w:t>
      </w:r>
      <w:r w:rsidRPr="003650B6">
        <w:t xml:space="preserve"> in program/customer education costs for failure to comply with the terms of the non-unanimous stipulation and agreement from ER-2018-0145 and ER-2018-</w:t>
      </w:r>
      <w:r>
        <w:t>0</w:t>
      </w:r>
      <w:r w:rsidRPr="003650B6">
        <w:t xml:space="preserve">146? </w:t>
      </w:r>
    </w:p>
    <w:p w14:paraId="6104A2ED" w14:textId="765887A4" w:rsidR="002770E6" w:rsidRDefault="00D36AEB" w:rsidP="00673DE0">
      <w:pPr>
        <w:pStyle w:val="Heading2"/>
        <w:spacing w:after="240"/>
        <w:jc w:val="both"/>
      </w:pPr>
      <w:r w:rsidRPr="003650B6">
        <w:t xml:space="preserve">Should the Commission order </w:t>
      </w:r>
      <w:r>
        <w:t>Evergy</w:t>
      </w:r>
      <w:r w:rsidRPr="003650B6">
        <w:t xml:space="preserve"> to submit an open-source competitive </w:t>
      </w:r>
      <w:r>
        <w:t>request for proposal (“</w:t>
      </w:r>
      <w:r w:rsidRPr="003650B6">
        <w:t>RFP</w:t>
      </w:r>
      <w:r>
        <w:t>”)</w:t>
      </w:r>
      <w:r w:rsidRPr="003650B6">
        <w:t xml:space="preserve"> for a </w:t>
      </w:r>
      <w:r>
        <w:t>thi</w:t>
      </w:r>
      <w:r w:rsidRPr="003650B6">
        <w:t xml:space="preserve">rd party marketing and education campaign surrounding </w:t>
      </w:r>
      <w:r>
        <w:t>time of use (“</w:t>
      </w:r>
      <w:r w:rsidRPr="003650B6">
        <w:t>TOU</w:t>
      </w:r>
      <w:r>
        <w:t>”)</w:t>
      </w:r>
      <w:r w:rsidRPr="003650B6">
        <w:t xml:space="preserve"> rates as described in the rebuttal testimony of </w:t>
      </w:r>
      <w:r>
        <w:t xml:space="preserve">OPC Witness </w:t>
      </w:r>
      <w:r w:rsidRPr="003650B6">
        <w:t>Geoff Marke p</w:t>
      </w:r>
      <w:r>
        <w:t>age</w:t>
      </w:r>
      <w:r w:rsidRPr="003650B6">
        <w:t xml:space="preserve"> 15,</w:t>
      </w:r>
      <w:r>
        <w:t xml:space="preserve"> lines</w:t>
      </w:r>
      <w:r w:rsidRPr="003650B6">
        <w:t xml:space="preserve"> 17-25?</w:t>
      </w:r>
    </w:p>
    <w:p w14:paraId="69F48667" w14:textId="4999AEB9" w:rsidR="002770E6" w:rsidRDefault="002770E6" w:rsidP="00673DE0">
      <w:pPr>
        <w:pStyle w:val="Heading1"/>
        <w:jc w:val="both"/>
      </w:pPr>
      <w:r>
        <w:t>Electrification Tariffs</w:t>
      </w:r>
    </w:p>
    <w:p w14:paraId="2DE91106" w14:textId="51A63EF3" w:rsidR="002770E6" w:rsidRDefault="002770E6" w:rsidP="00673DE0">
      <w:pPr>
        <w:pStyle w:val="Heading2"/>
        <w:jc w:val="both"/>
        <w:rPr>
          <w:rFonts w:eastAsia="Times New Roman"/>
        </w:rPr>
      </w:pPr>
      <w:r>
        <w:rPr>
          <w:rFonts w:eastAsia="Times New Roman"/>
        </w:rPr>
        <w:t xml:space="preserve">Should Evergy’s requested EV </w:t>
      </w:r>
      <w:r w:rsidR="001C2F2F">
        <w:rPr>
          <w:rFonts w:eastAsia="Times New Roman"/>
        </w:rPr>
        <w:t>charging rates</w:t>
      </w:r>
      <w:r>
        <w:rPr>
          <w:rFonts w:eastAsia="Times New Roman"/>
        </w:rPr>
        <w:t>, Business EV Charging Service</w:t>
      </w:r>
      <w:r w:rsidR="001C2F2F">
        <w:rPr>
          <w:rFonts w:eastAsia="Times New Roman"/>
        </w:rPr>
        <w:t xml:space="preserve"> (Schedule BEVCS)</w:t>
      </w:r>
      <w:r>
        <w:rPr>
          <w:rFonts w:eastAsia="Times New Roman"/>
        </w:rPr>
        <w:t xml:space="preserve">, and Electric Transit Service </w:t>
      </w:r>
      <w:r w:rsidR="001C2F2F">
        <w:rPr>
          <w:rFonts w:eastAsia="Times New Roman"/>
        </w:rPr>
        <w:t>rate be</w:t>
      </w:r>
      <w:r>
        <w:rPr>
          <w:rFonts w:eastAsia="Times New Roman"/>
        </w:rPr>
        <w:t xml:space="preserve"> promulgated?  </w:t>
      </w:r>
    </w:p>
    <w:p w14:paraId="613ED5A4" w14:textId="77777777" w:rsidR="002770E6" w:rsidRDefault="002770E6" w:rsidP="00673DE0">
      <w:pPr>
        <w:pStyle w:val="Heading3"/>
        <w:jc w:val="both"/>
        <w:rPr>
          <w:rFonts w:eastAsia="Times New Roman"/>
        </w:rPr>
      </w:pPr>
      <w:r>
        <w:rPr>
          <w:rFonts w:eastAsia="Times New Roman"/>
        </w:rPr>
        <w:t>With or without modification?</w:t>
      </w:r>
    </w:p>
    <w:p w14:paraId="27D0D2A4" w14:textId="77777777" w:rsidR="002770E6" w:rsidRPr="002770E6" w:rsidRDefault="002770E6" w:rsidP="00673DE0">
      <w:pPr>
        <w:jc w:val="both"/>
      </w:pPr>
    </w:p>
    <w:p w14:paraId="6DFB4876" w14:textId="23486D4D" w:rsidR="002770E6" w:rsidRPr="003650B6" w:rsidRDefault="002770E6" w:rsidP="00673DE0">
      <w:pPr>
        <w:pStyle w:val="Heading2"/>
        <w:jc w:val="both"/>
      </w:pPr>
      <w:r w:rsidRPr="003650B6">
        <w:lastRenderedPageBreak/>
        <w:t xml:space="preserve">Should </w:t>
      </w:r>
      <w:r>
        <w:t>Evergy</w:t>
      </w:r>
      <w:r w:rsidR="00673DE0">
        <w:t>’s proposed</w:t>
      </w:r>
      <w:r w:rsidR="001C2F2F">
        <w:t xml:space="preserve"> Commercial EV Charger</w:t>
      </w:r>
      <w:r w:rsidRPr="003650B6">
        <w:t xml:space="preserve"> </w:t>
      </w:r>
      <w:r w:rsidR="001C2F2F">
        <w:t>R</w:t>
      </w:r>
      <w:r w:rsidRPr="003650B6">
        <w:t xml:space="preserve">ebates be approved? </w:t>
      </w:r>
    </w:p>
    <w:p w14:paraId="5C17C3F6" w14:textId="77777777" w:rsidR="002770E6" w:rsidRPr="003650B6" w:rsidRDefault="002770E6" w:rsidP="00673DE0">
      <w:pPr>
        <w:pStyle w:val="Heading3"/>
        <w:jc w:val="both"/>
      </w:pPr>
      <w:r w:rsidRPr="003650B6">
        <w:t xml:space="preserve">If yes, should there be any conditions placed on how the tariff is designed? </w:t>
      </w:r>
    </w:p>
    <w:p w14:paraId="16C5A031" w14:textId="09F7A294" w:rsidR="002770E6" w:rsidRDefault="002770E6" w:rsidP="00673DE0">
      <w:pPr>
        <w:pStyle w:val="Heading2"/>
        <w:jc w:val="both"/>
      </w:pPr>
      <w:r w:rsidRPr="003650B6">
        <w:t xml:space="preserve">Should costs associated with </w:t>
      </w:r>
      <w:r w:rsidR="001C2F2F">
        <w:t>IHS</w:t>
      </w:r>
      <w:r w:rsidRPr="003650B6">
        <w:t xml:space="preserve"> market EV adoption</w:t>
      </w:r>
      <w:r w:rsidR="001C2F2F">
        <w:t xml:space="preserve"> study</w:t>
      </w:r>
      <w:r w:rsidRPr="003650B6">
        <w:t xml:space="preserve"> be disallowed?</w:t>
      </w:r>
    </w:p>
    <w:p w14:paraId="369F39E3" w14:textId="77777777" w:rsidR="002770E6" w:rsidRPr="003650B6" w:rsidRDefault="002770E6" w:rsidP="00673DE0">
      <w:pPr>
        <w:pStyle w:val="Heading3"/>
        <w:jc w:val="both"/>
      </w:pPr>
      <w:r>
        <w:t>If yes, how much of the costs should be disallowed?</w:t>
      </w:r>
    </w:p>
    <w:p w14:paraId="1DD5053A" w14:textId="77777777" w:rsidR="00BD0D40" w:rsidRPr="00E50CF6" w:rsidRDefault="00BD0D40" w:rsidP="00673DE0">
      <w:pPr>
        <w:pStyle w:val="Heading1"/>
        <w:spacing w:before="240"/>
        <w:jc w:val="both"/>
      </w:pPr>
      <w:r w:rsidRPr="00E50CF6">
        <w:t>Access to Customer Facing Information</w:t>
      </w:r>
    </w:p>
    <w:p w14:paraId="10365000" w14:textId="1F4210F9" w:rsidR="00BD0D40" w:rsidRDefault="00BD0D40" w:rsidP="00673DE0">
      <w:pPr>
        <w:pStyle w:val="Heading2"/>
        <w:jc w:val="both"/>
      </w:pPr>
      <w:r>
        <w:t xml:space="preserve">Should the Commission order Evergy to develop means by which the OPC can access customer facing material and information currently locked behind a customer account login whether through the creation of simulated or anonymous account access or other means? </w:t>
      </w:r>
    </w:p>
    <w:p w14:paraId="2BE1CA6E" w14:textId="77777777" w:rsidR="00BD0D40" w:rsidRDefault="00BD0D40" w:rsidP="00673DE0">
      <w:pPr>
        <w:pStyle w:val="Heading1"/>
        <w:spacing w:before="240"/>
        <w:jc w:val="both"/>
      </w:pPr>
      <w:r>
        <w:t>Management Expense</w:t>
      </w:r>
    </w:p>
    <w:p w14:paraId="67F25D5D" w14:textId="032CCFE1" w:rsidR="00BD0D40" w:rsidRPr="009475FD" w:rsidRDefault="00BD0D40" w:rsidP="00673DE0">
      <w:pPr>
        <w:pStyle w:val="Heading2"/>
        <w:jc w:val="both"/>
      </w:pPr>
      <w:r>
        <w:t>What is the proper amount of management expense charges that Evergy should be allowed to recover?</w:t>
      </w:r>
    </w:p>
    <w:p w14:paraId="3956780E" w14:textId="02AC6F7A" w:rsidR="002E2F70" w:rsidRPr="00D450CA" w:rsidRDefault="002E2F70" w:rsidP="00673DE0">
      <w:pPr>
        <w:pStyle w:val="Heading2"/>
        <w:numPr>
          <w:ilvl w:val="0"/>
          <w:numId w:val="0"/>
        </w:numPr>
        <w:ind w:left="720"/>
        <w:jc w:val="both"/>
        <w:rPr>
          <w:highlight w:val="yellow"/>
        </w:rPr>
      </w:pPr>
    </w:p>
    <w:p w14:paraId="28471830" w14:textId="59706CB6" w:rsidR="00D221FD" w:rsidRPr="00D221FD" w:rsidRDefault="00451C6A" w:rsidP="00673DE0">
      <w:pPr>
        <w:pStyle w:val="Heading1"/>
        <w:tabs>
          <w:tab w:val="left" w:pos="720"/>
        </w:tabs>
        <w:jc w:val="both"/>
        <w:rPr>
          <w:rFonts w:cs="Arial"/>
          <w:color w:val="000000" w:themeColor="text1"/>
        </w:rPr>
      </w:pPr>
      <w:r>
        <w:rPr>
          <w:rFonts w:cs="Arial"/>
          <w:color w:val="000000" w:themeColor="text1"/>
        </w:rPr>
        <w:t>Pilot</w:t>
      </w:r>
      <w:r w:rsidR="00D221FD" w:rsidRPr="00D221FD">
        <w:rPr>
          <w:rFonts w:cs="Arial"/>
          <w:color w:val="000000" w:themeColor="text1"/>
        </w:rPr>
        <w:t xml:space="preserve"> Programs</w:t>
      </w:r>
    </w:p>
    <w:p w14:paraId="210E2C33" w14:textId="77777777" w:rsidR="00D221FD" w:rsidRPr="00D221FD" w:rsidRDefault="00D221FD" w:rsidP="00673DE0">
      <w:pPr>
        <w:pStyle w:val="Heading2"/>
        <w:jc w:val="both"/>
        <w:rPr>
          <w:rFonts w:cs="Arial"/>
          <w:b/>
          <w:i/>
          <w:color w:val="000000" w:themeColor="text1"/>
        </w:rPr>
      </w:pPr>
      <w:r w:rsidRPr="00D221FD">
        <w:rPr>
          <w:rFonts w:cs="Arial"/>
          <w:color w:val="000000" w:themeColor="text1"/>
        </w:rPr>
        <w:t xml:space="preserve"> </w:t>
      </w:r>
      <w:r w:rsidRPr="00D221FD">
        <w:rPr>
          <w:rFonts w:cs="Arial"/>
          <w:b/>
          <w:i/>
          <w:color w:val="000000" w:themeColor="text1"/>
        </w:rPr>
        <w:t>Solar Subscription Pilot</w:t>
      </w:r>
    </w:p>
    <w:p w14:paraId="2C09D48B" w14:textId="77777777" w:rsidR="00D221FD" w:rsidRPr="00D221FD" w:rsidRDefault="00D221FD" w:rsidP="00673DE0">
      <w:pPr>
        <w:pStyle w:val="Heading3"/>
        <w:jc w:val="both"/>
      </w:pPr>
      <w:r w:rsidRPr="00D221FD">
        <w:t>Should the Commission approve the changes to the Solar Subscription Pilot tariff?</w:t>
      </w:r>
    </w:p>
    <w:p w14:paraId="3FFC1577" w14:textId="77777777" w:rsidR="00D221FD" w:rsidRPr="00D221FD" w:rsidRDefault="00D221FD" w:rsidP="00673DE0">
      <w:pPr>
        <w:pStyle w:val="Heading4"/>
        <w:spacing w:before="0"/>
        <w:jc w:val="both"/>
      </w:pPr>
      <w:r w:rsidRPr="00D221FD">
        <w:t xml:space="preserve">Which changes </w:t>
      </w:r>
      <w:r w:rsidRPr="006669CE">
        <w:t>should</w:t>
      </w:r>
      <w:r w:rsidRPr="00D221FD">
        <w:t xml:space="preserve"> be denied?</w:t>
      </w:r>
    </w:p>
    <w:p w14:paraId="02A93F1C" w14:textId="4F2A7EE5" w:rsidR="00D221FD" w:rsidRDefault="00D221FD" w:rsidP="00673DE0">
      <w:pPr>
        <w:pStyle w:val="Heading4"/>
        <w:spacing w:before="0"/>
        <w:jc w:val="both"/>
        <w:rPr>
          <w:i/>
        </w:rPr>
      </w:pPr>
      <w:r w:rsidRPr="00D221FD">
        <w:t xml:space="preserve">Which changes </w:t>
      </w:r>
      <w:r w:rsidRPr="006669CE">
        <w:t>should</w:t>
      </w:r>
      <w:r w:rsidRPr="00D221FD">
        <w:t xml:space="preserve"> be accepted?</w:t>
      </w:r>
    </w:p>
    <w:p w14:paraId="768F392B" w14:textId="77777777" w:rsidR="00357059" w:rsidRPr="00357059" w:rsidRDefault="00357059" w:rsidP="00673DE0">
      <w:pPr>
        <w:pStyle w:val="Heading2"/>
        <w:jc w:val="both"/>
        <w:rPr>
          <w:rFonts w:cs="Arial"/>
          <w:b/>
          <w:i/>
          <w:color w:val="000000" w:themeColor="text1"/>
        </w:rPr>
      </w:pPr>
      <w:r w:rsidRPr="00357059">
        <w:rPr>
          <w:rFonts w:cs="Arial"/>
          <w:b/>
          <w:i/>
          <w:color w:val="000000" w:themeColor="text1"/>
        </w:rPr>
        <w:t>Renewable Energy Battery Storage</w:t>
      </w:r>
    </w:p>
    <w:p w14:paraId="5EFCF3C0" w14:textId="74C4EC46" w:rsidR="002E2F70" w:rsidRDefault="00451C6A" w:rsidP="00673DE0">
      <w:pPr>
        <w:pStyle w:val="Heading3"/>
        <w:jc w:val="both"/>
      </w:pPr>
      <w:r w:rsidRPr="00357059">
        <w:t>Should the Commission approve the Renewable Energy Battery Storage Pilot tariff?</w:t>
      </w:r>
    </w:p>
    <w:p w14:paraId="22E08A8C" w14:textId="77777777" w:rsidR="00B90877" w:rsidRDefault="00B90877" w:rsidP="00673DE0">
      <w:pPr>
        <w:pStyle w:val="Heading4"/>
        <w:spacing w:before="0"/>
        <w:jc w:val="both"/>
      </w:pPr>
      <w:r>
        <w:t>If yes, what conditions should the Commission order related to that study?</w:t>
      </w:r>
    </w:p>
    <w:p w14:paraId="41A9398F" w14:textId="7C24B1A6" w:rsidR="00B90877" w:rsidRPr="00B90877" w:rsidRDefault="00B90877" w:rsidP="00673DE0">
      <w:pPr>
        <w:pStyle w:val="Heading4"/>
        <w:spacing w:before="0"/>
        <w:jc w:val="both"/>
      </w:pPr>
      <w:r>
        <w:t>If no, should the Commission order Evergy to conduct a meta-study or literature review as an alternative?</w:t>
      </w:r>
    </w:p>
    <w:p w14:paraId="72ADF4CD" w14:textId="0938B178" w:rsidR="002E2F70" w:rsidRPr="002E2F70" w:rsidRDefault="002E2F70" w:rsidP="00673DE0">
      <w:pPr>
        <w:pStyle w:val="Heading2"/>
        <w:jc w:val="both"/>
        <w:rPr>
          <w:b/>
          <w:i/>
        </w:rPr>
      </w:pPr>
      <w:r w:rsidRPr="002E2F70">
        <w:rPr>
          <w:b/>
          <w:i/>
        </w:rPr>
        <w:t>Advanced Easy Pay</w:t>
      </w:r>
    </w:p>
    <w:p w14:paraId="16954227" w14:textId="77777777" w:rsidR="002E2F70" w:rsidRDefault="002E2F70" w:rsidP="00673DE0">
      <w:pPr>
        <w:pStyle w:val="Heading3"/>
        <w:jc w:val="both"/>
      </w:pPr>
      <w:r>
        <w:t xml:space="preserve">Should the Commission approve Evergy’s pre-pay pilot program called Advanced Easy Pay? </w:t>
      </w:r>
    </w:p>
    <w:p w14:paraId="58C43139" w14:textId="77777777" w:rsidR="00A3796E" w:rsidRDefault="002E2F70" w:rsidP="00673DE0">
      <w:pPr>
        <w:pStyle w:val="Heading4"/>
        <w:spacing w:before="0"/>
        <w:jc w:val="both"/>
      </w:pPr>
      <w:r>
        <w:t xml:space="preserve">If the Commission approves the pre-pay pilot, what Chapter 13 and tariff variances should be approved?  </w:t>
      </w:r>
    </w:p>
    <w:p w14:paraId="296B2A33" w14:textId="77777777" w:rsidR="00A3796E" w:rsidRDefault="00A3796E" w:rsidP="00673DE0">
      <w:pPr>
        <w:pStyle w:val="Heading2"/>
        <w:jc w:val="both"/>
        <w:rPr>
          <w:b/>
          <w:i/>
        </w:rPr>
      </w:pPr>
      <w:r w:rsidRPr="00A3796E">
        <w:rPr>
          <w:b/>
          <w:i/>
        </w:rPr>
        <w:t>Subscription Pricing Pilot Program</w:t>
      </w:r>
    </w:p>
    <w:p w14:paraId="341DD589" w14:textId="757F19B7" w:rsidR="006C6101" w:rsidRPr="006C6101" w:rsidRDefault="006C6101" w:rsidP="00673DE0">
      <w:pPr>
        <w:pStyle w:val="Heading3"/>
        <w:jc w:val="both"/>
      </w:pPr>
      <w:r>
        <w:t>Should the Commission approve the proposed Subscription Pricing Pilot Program?</w:t>
      </w:r>
    </w:p>
    <w:p w14:paraId="11729520" w14:textId="74C5785E" w:rsidR="00A3796E" w:rsidRDefault="00A3796E" w:rsidP="00673DE0">
      <w:pPr>
        <w:pStyle w:val="Heading3"/>
        <w:jc w:val="both"/>
      </w:pPr>
      <w:r w:rsidRPr="006C6101">
        <w:t xml:space="preserve">Should the Commission grant Evergy’s request for variances to Chapter 13.020 Billing and Payment Standards, which the Company states is needed to implement Evergy’s proposed Subscription Pricing Pilot Program?  </w:t>
      </w:r>
    </w:p>
    <w:p w14:paraId="56A79D1E" w14:textId="63673510" w:rsidR="002770E6" w:rsidRPr="002770E6" w:rsidRDefault="002770E6" w:rsidP="00673DE0">
      <w:pPr>
        <w:pStyle w:val="Heading3"/>
        <w:jc w:val="both"/>
      </w:pPr>
      <w:r w:rsidRPr="003650B6">
        <w:t xml:space="preserve">Should the Commission disallow costs related to consultant fees associated with </w:t>
      </w:r>
      <w:r>
        <w:t>Evergy</w:t>
      </w:r>
      <w:r w:rsidRPr="003650B6">
        <w:t xml:space="preserve">’s Subscription offering? </w:t>
      </w:r>
    </w:p>
    <w:p w14:paraId="29A5CF14" w14:textId="77777777" w:rsidR="001621B8" w:rsidRPr="001621B8" w:rsidRDefault="001621B8" w:rsidP="00673DE0">
      <w:pPr>
        <w:pStyle w:val="Heading2"/>
        <w:jc w:val="both"/>
        <w:rPr>
          <w:b/>
          <w:i/>
        </w:rPr>
      </w:pPr>
      <w:r w:rsidRPr="001621B8">
        <w:rPr>
          <w:b/>
          <w:i/>
        </w:rPr>
        <w:t>Low-Income Solar Subscription Pilot Program Issue</w:t>
      </w:r>
    </w:p>
    <w:p w14:paraId="3AE83A83" w14:textId="77777777" w:rsidR="00D36AEB" w:rsidRDefault="001621B8" w:rsidP="00673DE0">
      <w:pPr>
        <w:pStyle w:val="Heading3"/>
        <w:jc w:val="both"/>
      </w:pPr>
      <w:r>
        <w:lastRenderedPageBreak/>
        <w:t>Should the Commission approve the Low-Income Solar Subscription Pilot Program as proposed by the Company</w:t>
      </w:r>
      <w:r w:rsidR="00D36AEB">
        <w:t xml:space="preserve">, through the 1 MWac portion of the 10 MWac solar resource that is to be built?  </w:t>
      </w:r>
    </w:p>
    <w:p w14:paraId="590600F0" w14:textId="19BB0880" w:rsidR="001621B8" w:rsidRDefault="001621B8" w:rsidP="00673DE0">
      <w:pPr>
        <w:pStyle w:val="Heading3"/>
        <w:jc w:val="both"/>
        <w:rPr>
          <w:b/>
        </w:rPr>
      </w:pPr>
      <w:r>
        <w:t>?</w:t>
      </w:r>
    </w:p>
    <w:p w14:paraId="565EECC0" w14:textId="51AF45F3" w:rsidR="001621B8" w:rsidRDefault="001621B8" w:rsidP="00673DE0">
      <w:pPr>
        <w:pStyle w:val="Heading4"/>
        <w:spacing w:before="0"/>
        <w:jc w:val="both"/>
        <w:rPr>
          <w:b/>
        </w:rPr>
      </w:pPr>
      <w:r>
        <w:t>If so, should the Commission order the</w:t>
      </w:r>
      <w:r w:rsidR="00D36AEB">
        <w:t xml:space="preserve"> shareholder cost-sharing mechanism for unsubscribed portions of the solar resource with a 90% cost burden for shareholders </w:t>
      </w:r>
      <w:r>
        <w:t>as proposed by OPC?</w:t>
      </w:r>
    </w:p>
    <w:p w14:paraId="5187A920" w14:textId="77777777" w:rsidR="00D36AEB" w:rsidRDefault="001621B8" w:rsidP="00673DE0">
      <w:pPr>
        <w:pStyle w:val="Heading4"/>
        <w:spacing w:before="0"/>
        <w:jc w:val="both"/>
      </w:pPr>
      <w:r>
        <w:t xml:space="preserve">If </w:t>
      </w:r>
      <w:r w:rsidR="00D36AEB">
        <w:t xml:space="preserve">so, </w:t>
      </w:r>
      <w:r>
        <w:t>should the Commission order the Company to modify it as proposed by Renew Missouri?</w:t>
      </w:r>
    </w:p>
    <w:p w14:paraId="49869106" w14:textId="1CF080BE" w:rsidR="00B90877" w:rsidRDefault="00B90877" w:rsidP="00673DE0">
      <w:pPr>
        <w:pStyle w:val="Heading4"/>
        <w:spacing w:before="0"/>
        <w:jc w:val="both"/>
      </w:pPr>
      <w:r>
        <w:t>If yes, what other conditions or modifications should the Commission order for the program?</w:t>
      </w:r>
    </w:p>
    <w:p w14:paraId="2C9131B1" w14:textId="77777777" w:rsidR="00D36AEB" w:rsidRPr="00E50CF6" w:rsidRDefault="00D36AEB" w:rsidP="00673DE0">
      <w:pPr>
        <w:pStyle w:val="Heading1"/>
        <w:spacing w:before="240"/>
        <w:jc w:val="both"/>
      </w:pPr>
      <w:r w:rsidRPr="00E50CF6">
        <w:t>Voltage Optimization Study</w:t>
      </w:r>
    </w:p>
    <w:p w14:paraId="592C22F3" w14:textId="56EDF1BD" w:rsidR="00D36AEB" w:rsidRPr="00647457" w:rsidRDefault="00D36AEB" w:rsidP="00673DE0">
      <w:pPr>
        <w:pStyle w:val="Heading2"/>
        <w:jc w:val="both"/>
      </w:pPr>
      <w:r w:rsidRPr="00647457">
        <w:t xml:space="preserve">Should the Commission order </w:t>
      </w:r>
      <w:r>
        <w:t>Evergy</w:t>
      </w:r>
      <w:r w:rsidRPr="00647457">
        <w:t xml:space="preserve"> to issue a request for proposals for an independent, third-party consultant to conduct a study in calendar year 2022 of its distribution system designed to gauge the costs and benefits of a voltage optimization program in </w:t>
      </w:r>
      <w:r>
        <w:t>Evergy</w:t>
      </w:r>
      <w:r w:rsidRPr="00647457">
        <w:t>’s service territory?</w:t>
      </w:r>
    </w:p>
    <w:p w14:paraId="0D45A157" w14:textId="6C359124" w:rsidR="00D36AEB" w:rsidRPr="00647457" w:rsidRDefault="00D36AEB" w:rsidP="00673DE0">
      <w:pPr>
        <w:pStyle w:val="Heading2"/>
        <w:jc w:val="both"/>
      </w:pPr>
      <w:r w:rsidRPr="00647457">
        <w:t xml:space="preserve">Should </w:t>
      </w:r>
      <w:r>
        <w:t>Evergy</w:t>
      </w:r>
      <w:r w:rsidRPr="00647457">
        <w:t xml:space="preserve"> be ordered to select a consultant based on ranked majority voting from </w:t>
      </w:r>
      <w:r>
        <w:t>Evergy</w:t>
      </w:r>
      <w:r w:rsidRPr="00647457">
        <w:t>, Staff and OPC to have the cost/benefit study performed?</w:t>
      </w:r>
    </w:p>
    <w:p w14:paraId="4AA470CD" w14:textId="77777777" w:rsidR="00D36AEB" w:rsidRPr="00E50CF6" w:rsidRDefault="00D36AEB" w:rsidP="00673DE0">
      <w:pPr>
        <w:pStyle w:val="Heading1"/>
        <w:spacing w:before="240"/>
        <w:jc w:val="both"/>
      </w:pPr>
      <w:r w:rsidRPr="00E50CF6">
        <w:t>Value of Lost Load Study</w:t>
      </w:r>
    </w:p>
    <w:p w14:paraId="1D6D477D" w14:textId="3A7838EE" w:rsidR="00B90877" w:rsidRPr="00B90877" w:rsidRDefault="00D36AEB" w:rsidP="00673DE0">
      <w:pPr>
        <w:pStyle w:val="Heading2"/>
        <w:spacing w:after="240"/>
        <w:jc w:val="both"/>
      </w:pPr>
      <w:r w:rsidRPr="00647457">
        <w:t xml:space="preserve">Should </w:t>
      </w:r>
      <w:r>
        <w:t>Evergy</w:t>
      </w:r>
      <w:r w:rsidRPr="00647457">
        <w:t xml:space="preserve"> be required to engage with interested stakeholders at least twice for input </w:t>
      </w:r>
      <w:r w:rsidRPr="00AA21F6">
        <w:t xml:space="preserve">regarding the scope, methodology, questions and goals of a value of lost load study that will inform recommended changes to </w:t>
      </w:r>
      <w:r>
        <w:t>Evergy</w:t>
      </w:r>
      <w:r w:rsidRPr="00AA21F6">
        <w:t xml:space="preserve">’s Emergency Conservation Plan Tariff sheet, to be filed no later than July 2023? </w:t>
      </w:r>
    </w:p>
    <w:p w14:paraId="0AAA0B58" w14:textId="1CF0A564" w:rsidR="00B90877" w:rsidRDefault="00B90877" w:rsidP="00673DE0">
      <w:pPr>
        <w:pStyle w:val="Heading1"/>
        <w:jc w:val="both"/>
      </w:pPr>
      <w:r>
        <w:t xml:space="preserve">Tariff Revisions </w:t>
      </w:r>
    </w:p>
    <w:p w14:paraId="28201A23" w14:textId="0DFB51D0" w:rsidR="008E16B7" w:rsidRDefault="00B90877" w:rsidP="00673DE0">
      <w:pPr>
        <w:pStyle w:val="Heading2"/>
        <w:jc w:val="both"/>
      </w:pPr>
      <w:r w:rsidRPr="00772D78">
        <w:t xml:space="preserve">Should the </w:t>
      </w:r>
      <w:r>
        <w:t>C</w:t>
      </w:r>
      <w:r w:rsidRPr="00772D78">
        <w:t xml:space="preserve">ommission approve the </w:t>
      </w:r>
      <w:r>
        <w:t xml:space="preserve">Companies’ proposed </w:t>
      </w:r>
      <w:r w:rsidRPr="00772D78">
        <w:t>revisions to the M</w:t>
      </w:r>
      <w:r>
        <w:t>arket Based Demand Response</w:t>
      </w:r>
      <w:r w:rsidRPr="00772D78">
        <w:t xml:space="preserve"> program</w:t>
      </w:r>
      <w:r>
        <w:t xml:space="preserve"> tariff, or</w:t>
      </w:r>
      <w:r w:rsidR="008E16B7">
        <w:t xml:space="preserve"> should the Commission order Evergy to cancel their currently effective MBDR tariff sheets and update the related curtailment tariff sheets in accordance with the OPC’s recommendations?</w:t>
      </w:r>
    </w:p>
    <w:p w14:paraId="7D7E54F4" w14:textId="264EA1A7" w:rsidR="003127CB" w:rsidRDefault="003127CB" w:rsidP="00673DE0">
      <w:pPr>
        <w:pStyle w:val="Heading2"/>
        <w:jc w:val="both"/>
      </w:pPr>
      <w:r>
        <w:t>What, if any, changes should be made to Evergy’s DER interconnection tariff?</w:t>
      </w:r>
    </w:p>
    <w:p w14:paraId="591B3450" w14:textId="26C01BC0" w:rsidR="001C6BAE" w:rsidRDefault="001C6BAE" w:rsidP="00673DE0">
      <w:pPr>
        <w:pStyle w:val="Heading2"/>
        <w:jc w:val="both"/>
      </w:pPr>
      <w:r>
        <w:t>What, if any, changes should be made to Evergy’s net metering tariff?What, if any, changes should be made to Evergy’s Emergency Energy Conservation tariff?</w:t>
      </w:r>
    </w:p>
    <w:p w14:paraId="5B86DD8A" w14:textId="14DFC364" w:rsidR="002105DE" w:rsidRPr="002105DE" w:rsidRDefault="002105DE" w:rsidP="00673DE0">
      <w:pPr>
        <w:pStyle w:val="Heading2"/>
        <w:jc w:val="both"/>
      </w:pPr>
      <w:r>
        <w:t>Should Evergy retain the word “pilot” in its Economic Relief Pilot Program tariff?</w:t>
      </w:r>
    </w:p>
    <w:p w14:paraId="5705AA05" w14:textId="6A39FE01" w:rsidR="00B90877" w:rsidRPr="00B90877" w:rsidRDefault="00B90877" w:rsidP="00673DE0">
      <w:pPr>
        <w:pStyle w:val="Heading2"/>
        <w:numPr>
          <w:ilvl w:val="0"/>
          <w:numId w:val="0"/>
        </w:numPr>
        <w:ind w:left="720"/>
        <w:jc w:val="both"/>
      </w:pPr>
    </w:p>
    <w:p w14:paraId="7CBF8557" w14:textId="4DF85952" w:rsidR="00BF2C4D" w:rsidRPr="00C377A7" w:rsidRDefault="00D36AEB" w:rsidP="00673DE0">
      <w:pPr>
        <w:pStyle w:val="Heading1"/>
        <w:jc w:val="both"/>
      </w:pPr>
      <w:r>
        <w:t xml:space="preserve">Low </w:t>
      </w:r>
      <w:r w:rsidR="00BF2C4D">
        <w:t xml:space="preserve">Income Eligible Weatherization </w:t>
      </w:r>
      <w:r>
        <w:t>Program (“LIWAP”)</w:t>
      </w:r>
    </w:p>
    <w:p w14:paraId="4C1B13F4" w14:textId="77777777" w:rsidR="00D36AEB" w:rsidRPr="00647457" w:rsidRDefault="00D36AEB" w:rsidP="00673DE0">
      <w:pPr>
        <w:pStyle w:val="Heading2"/>
        <w:jc w:val="both"/>
      </w:pPr>
      <w:r w:rsidRPr="00647457">
        <w:t xml:space="preserve">Should </w:t>
      </w:r>
      <w:r>
        <w:t xml:space="preserve">the </w:t>
      </w:r>
      <w:r w:rsidRPr="00647457">
        <w:t>LIWAP funding amount be changed?</w:t>
      </w:r>
    </w:p>
    <w:p w14:paraId="5A6B60CD" w14:textId="2E56B585" w:rsidR="00BF2C4D" w:rsidRPr="00C377A7" w:rsidRDefault="00BF2C4D" w:rsidP="00673DE0">
      <w:pPr>
        <w:pStyle w:val="Heading2"/>
        <w:jc w:val="both"/>
      </w:pPr>
      <w:r>
        <w:t xml:space="preserve">Should the </w:t>
      </w:r>
      <w:r w:rsidRPr="00477934">
        <w:t>Commission approve the transfer of approximately $1 million in unspent program funds to the Dollar Aide program</w:t>
      </w:r>
      <w:r>
        <w:t xml:space="preserve">?  </w:t>
      </w:r>
    </w:p>
    <w:p w14:paraId="646D7E99" w14:textId="77777777" w:rsidR="00BF2C4D" w:rsidRPr="00477934" w:rsidRDefault="00BF2C4D" w:rsidP="00673DE0">
      <w:pPr>
        <w:pStyle w:val="Heading2"/>
        <w:jc w:val="both"/>
      </w:pPr>
      <w:r w:rsidRPr="00477934">
        <w:t>Should the Commission approve the proposal to transfer the unspent program funds to Dollar Aide on a reoccurring annual basis?</w:t>
      </w:r>
    </w:p>
    <w:p w14:paraId="1ECEA208" w14:textId="34BD93CA" w:rsidR="00BF2C4D" w:rsidRDefault="00BF2C4D" w:rsidP="00673DE0">
      <w:pPr>
        <w:pStyle w:val="Heading2"/>
        <w:jc w:val="both"/>
      </w:pPr>
      <w:r w:rsidRPr="00477934">
        <w:lastRenderedPageBreak/>
        <w:t>If the Commission does not approve the unspent funds transfer, should the Commission approve Staff’s recommendation of supplementing half of the annual program funds with an equal amount of the unspent funds each program y</w:t>
      </w:r>
      <w:r>
        <w:t>ear until the balance is utili</w:t>
      </w:r>
      <w:r w:rsidRPr="00477934">
        <w:t>zed?</w:t>
      </w:r>
    </w:p>
    <w:p w14:paraId="79A94F1B" w14:textId="77777777" w:rsidR="00D36AEB" w:rsidRPr="00647457" w:rsidRDefault="00D36AEB" w:rsidP="00673DE0">
      <w:pPr>
        <w:pStyle w:val="Heading2"/>
        <w:jc w:val="both"/>
      </w:pPr>
      <w:r w:rsidRPr="00647457">
        <w:t xml:space="preserve">Should the Commission order </w:t>
      </w:r>
      <w:r>
        <w:t>Evergy Metro</w:t>
      </w:r>
      <w:r w:rsidRPr="00647457">
        <w:t>’s Customer Service Rep</w:t>
      </w:r>
      <w:r>
        <w:t>resentative</w:t>
      </w:r>
      <w:r w:rsidRPr="00647457">
        <w:t>s to ask for consent from customers struggling to pay their bills to forward the</w:t>
      </w:r>
      <w:r>
        <w:t xml:space="preserve"> customers’</w:t>
      </w:r>
      <w:r w:rsidRPr="00647457">
        <w:t xml:space="preserve"> contact information to the relevant Community Action Agency so that a representative from an Agency may contact the</w:t>
      </w:r>
      <w:r>
        <w:t xml:space="preserve"> customers</w:t>
      </w:r>
      <w:r w:rsidRPr="00647457">
        <w:t xml:space="preserve"> about weatherizing their home free of charge and </w:t>
      </w:r>
      <w:r>
        <w:t xml:space="preserve">provide </w:t>
      </w:r>
      <w:r w:rsidRPr="00647457">
        <w:t xml:space="preserve">other assistance if </w:t>
      </w:r>
      <w:r>
        <w:t xml:space="preserve">the customers are </w:t>
      </w:r>
      <w:r w:rsidRPr="00647457">
        <w:t xml:space="preserve">eligible? </w:t>
      </w:r>
    </w:p>
    <w:p w14:paraId="6C433F1D" w14:textId="77777777" w:rsidR="00D36AEB" w:rsidRPr="00647457" w:rsidRDefault="00D36AEB" w:rsidP="00673DE0">
      <w:pPr>
        <w:pStyle w:val="Heading2"/>
        <w:jc w:val="both"/>
      </w:pPr>
      <w:r w:rsidRPr="00647457">
        <w:t xml:space="preserve">Should the LIWAP tariff be modified to allow up to 50% of funding to be allocated to administrative duties such as marketing, employee training, new hires and/or maintaining existing employees to perform weatherization services until the influx of federal funding devoted to weatherization is spent down or the Company’s next rate case?  </w:t>
      </w:r>
    </w:p>
    <w:p w14:paraId="6AD928DA" w14:textId="5E485DA8" w:rsidR="00D36AEB" w:rsidRPr="00647457" w:rsidRDefault="00D36AEB" w:rsidP="00673DE0">
      <w:pPr>
        <w:pStyle w:val="Heading2"/>
        <w:jc w:val="both"/>
      </w:pPr>
      <w:r w:rsidRPr="00647457">
        <w:t xml:space="preserve">Should the Commission order </w:t>
      </w:r>
      <w:r>
        <w:t>Evergy</w:t>
      </w:r>
      <w:r w:rsidRPr="00647457">
        <w:t xml:space="preserve"> to create a Critical Needs Program consistent with the Critical Needs Program the Commission approved in Case Nos: GR-2021- 0108, ER-2021-0240, GR-2021-0320, and ER-2021-0312? </w:t>
      </w:r>
    </w:p>
    <w:p w14:paraId="28013400" w14:textId="5C11AC5F" w:rsidR="00D36AEB" w:rsidRPr="00647457" w:rsidRDefault="00D36AEB" w:rsidP="00673DE0">
      <w:pPr>
        <w:pStyle w:val="Heading3"/>
        <w:jc w:val="both"/>
      </w:pPr>
      <w:r w:rsidRPr="00647457">
        <w:t xml:space="preserve">If so, should the Commission order annual funding of $600,000, with funding split 50/50 between customers and shareholders, and with unspent funding allocated to </w:t>
      </w:r>
      <w:r>
        <w:t>Evergy</w:t>
      </w:r>
      <w:r w:rsidRPr="00647457">
        <w:t>’s bill assistance program?</w:t>
      </w:r>
    </w:p>
    <w:p w14:paraId="5134A0C4" w14:textId="1B3D322C" w:rsidR="00D36AEB" w:rsidRPr="00647457" w:rsidRDefault="00D36AEB" w:rsidP="00673DE0">
      <w:pPr>
        <w:pStyle w:val="Heading2"/>
        <w:jc w:val="both"/>
      </w:pPr>
      <w:r w:rsidRPr="00647457">
        <w:t xml:space="preserve">Should the Commission order </w:t>
      </w:r>
      <w:r>
        <w:t>Evergy</w:t>
      </w:r>
      <w:r w:rsidRPr="00647457">
        <w:t xml:space="preserve"> to create a Rehousing Pilot Program consistent with the Rehousing Pilot Program the Commission approved in Case No: ER-2021-0240? </w:t>
      </w:r>
    </w:p>
    <w:p w14:paraId="67DB7F40" w14:textId="2925B027" w:rsidR="00D36AEB" w:rsidRPr="00D36AEB" w:rsidRDefault="00D36AEB" w:rsidP="00673DE0">
      <w:pPr>
        <w:pStyle w:val="Heading3"/>
        <w:jc w:val="both"/>
      </w:pPr>
      <w:r w:rsidRPr="00647457">
        <w:t xml:space="preserve">If </w:t>
      </w:r>
      <w:r>
        <w:t>yes</w:t>
      </w:r>
      <w:r w:rsidRPr="00647457">
        <w:t>, should the Commission order annual funding of $500,000, with funding split 50/50 between customers</w:t>
      </w:r>
      <w:r>
        <w:t xml:space="preserve"> and shareholders</w:t>
      </w:r>
      <w:r w:rsidRPr="00647457">
        <w:t>?</w:t>
      </w:r>
    </w:p>
    <w:p w14:paraId="592616D0" w14:textId="77777777" w:rsidR="002770E6" w:rsidRDefault="002770E6" w:rsidP="00673DE0">
      <w:pPr>
        <w:pStyle w:val="Heading1"/>
        <w:spacing w:before="240"/>
        <w:jc w:val="both"/>
      </w:pPr>
      <w:r>
        <w:t>Universal Customer Service</w:t>
      </w:r>
    </w:p>
    <w:p w14:paraId="2546196F" w14:textId="7CB10E71" w:rsidR="002770E6" w:rsidRDefault="002770E6" w:rsidP="00673DE0">
      <w:pPr>
        <w:pStyle w:val="Heading2"/>
        <w:jc w:val="both"/>
      </w:pPr>
      <w:r>
        <w:t>Should Evergy be required to file its plan for Universal Customer Service with the Commission including details as to how its Universal Customer Service Plan will not result in diminished service to Missouri customers and also indicate what controls the Company will have in place to ensure adequate service to all its regulated customers?</w:t>
      </w:r>
    </w:p>
    <w:p w14:paraId="29E1624F" w14:textId="3B5CEED1" w:rsidR="00BF2C4D" w:rsidRDefault="00BF2C4D" w:rsidP="00673DE0">
      <w:pPr>
        <w:pStyle w:val="Heading2"/>
        <w:numPr>
          <w:ilvl w:val="0"/>
          <w:numId w:val="0"/>
        </w:numPr>
        <w:ind w:left="720"/>
        <w:jc w:val="both"/>
      </w:pPr>
    </w:p>
    <w:p w14:paraId="0E920B1A" w14:textId="77777777" w:rsidR="002770E6" w:rsidRDefault="002770E6" w:rsidP="00673DE0">
      <w:pPr>
        <w:pStyle w:val="Heading1"/>
        <w:jc w:val="both"/>
      </w:pPr>
      <w:r>
        <w:t xml:space="preserve">Customer Privacy </w:t>
      </w:r>
    </w:p>
    <w:p w14:paraId="13C0AC28" w14:textId="67B0B606" w:rsidR="002770E6" w:rsidRDefault="002770E6" w:rsidP="00673DE0">
      <w:pPr>
        <w:pStyle w:val="Heading2"/>
        <w:jc w:val="both"/>
      </w:pPr>
      <w:r>
        <w:t>Should Evergy proactively notify customers when its makes changes to its Privacy Policy including identifying what the changes are?</w:t>
      </w:r>
    </w:p>
    <w:p w14:paraId="6199277D" w14:textId="31AE5C88" w:rsidR="002770E6" w:rsidRDefault="002770E6" w:rsidP="00673DE0">
      <w:pPr>
        <w:pStyle w:val="Heading2"/>
        <w:jc w:val="both"/>
      </w:pPr>
      <w:r>
        <w:t>Should Evergy’s Privacy Policy reference the Commission’s Rule 20 CSR 240-20.015(2)(C) within the Policy Section:  When Do We Share Your Information?</w:t>
      </w:r>
    </w:p>
    <w:p w14:paraId="77429C84" w14:textId="6F949CB3" w:rsidR="002770E6" w:rsidRPr="002770E6" w:rsidRDefault="002770E6" w:rsidP="00673DE0">
      <w:pPr>
        <w:pStyle w:val="Heading2"/>
        <w:spacing w:after="240"/>
        <w:jc w:val="both"/>
      </w:pPr>
      <w:r>
        <w:t>Should Evergy’s Privacy Policy clearly state that the Company does not assume ownership of its Customer’ Data?</w:t>
      </w:r>
    </w:p>
    <w:p w14:paraId="1395A61A" w14:textId="454C482A" w:rsidR="00184892" w:rsidRPr="00184892" w:rsidRDefault="00184892" w:rsidP="00673DE0">
      <w:pPr>
        <w:pStyle w:val="Heading1"/>
        <w:tabs>
          <w:tab w:val="left" w:pos="720"/>
        </w:tabs>
        <w:jc w:val="both"/>
        <w:rPr>
          <w:rFonts w:cs="Arial"/>
          <w:sz w:val="24"/>
          <w:szCs w:val="24"/>
        </w:rPr>
      </w:pPr>
      <w:r>
        <w:rPr>
          <w:rFonts w:cs="Arial"/>
        </w:rPr>
        <w:t>Injuries and Damages</w:t>
      </w:r>
    </w:p>
    <w:p w14:paraId="129895CD" w14:textId="49F31E83" w:rsidR="004E306D" w:rsidRDefault="00184892" w:rsidP="00673DE0">
      <w:pPr>
        <w:pStyle w:val="Heading2"/>
        <w:jc w:val="both"/>
      </w:pPr>
      <w:r w:rsidRPr="00184892">
        <w:t xml:space="preserve">Should </w:t>
      </w:r>
      <w:r w:rsidRPr="0068591A">
        <w:t>insurance</w:t>
      </w:r>
      <w:r w:rsidRPr="00184892">
        <w:t xml:space="preserve"> settlement reimbursements received by Evergy Metro be included in developing an ongoing level </w:t>
      </w:r>
      <w:r w:rsidR="004E306D">
        <w:t>of injuries and damages expense?</w:t>
      </w:r>
    </w:p>
    <w:p w14:paraId="099A7E8C" w14:textId="1C114C6A" w:rsidR="004E306D" w:rsidRPr="004E306D" w:rsidRDefault="004E306D" w:rsidP="00673DE0">
      <w:pPr>
        <w:pStyle w:val="Heading2"/>
        <w:spacing w:after="240"/>
        <w:jc w:val="both"/>
      </w:pPr>
      <w:r w:rsidRPr="004E306D">
        <w:lastRenderedPageBreak/>
        <w:t>Should normalized injuries and dama</w:t>
      </w:r>
      <w:r w:rsidR="00A32C62">
        <w:t>ges expense be developed using the</w:t>
      </w:r>
      <w:r w:rsidRPr="004E306D">
        <w:t xml:space="preserve"> Company proposed three-year average?</w:t>
      </w:r>
    </w:p>
    <w:p w14:paraId="1F475963" w14:textId="77777777" w:rsidR="004E306D" w:rsidRPr="00F04902" w:rsidRDefault="004E306D" w:rsidP="00673DE0">
      <w:pPr>
        <w:pStyle w:val="Heading1"/>
        <w:spacing w:before="240"/>
        <w:jc w:val="both"/>
      </w:pPr>
      <w:r w:rsidRPr="00F04902">
        <w:t>Annual Surveillance Report (Metro only)</w:t>
      </w:r>
    </w:p>
    <w:p w14:paraId="45704FC5" w14:textId="4A6F3FBE" w:rsidR="004E306D" w:rsidRPr="00A3796E" w:rsidRDefault="004E306D" w:rsidP="00673DE0">
      <w:pPr>
        <w:pStyle w:val="Heading2"/>
        <w:jc w:val="both"/>
      </w:pPr>
      <w:r w:rsidRPr="00F04902">
        <w:t>Should Evergy Metro discontinue the annual surveillance report?</w:t>
      </w:r>
    </w:p>
    <w:p w14:paraId="64628B17" w14:textId="20D40146" w:rsidR="00FA2ACC" w:rsidRDefault="004E306D" w:rsidP="00673DE0">
      <w:pPr>
        <w:pStyle w:val="Heading1"/>
        <w:spacing w:before="240"/>
        <w:jc w:val="both"/>
      </w:pPr>
      <w:r w:rsidRPr="00F04902">
        <w:t>Jurisdictional</w:t>
      </w:r>
      <w:r>
        <w:t xml:space="preserve"> </w:t>
      </w:r>
      <w:r w:rsidRPr="00F04902">
        <w:t>Allocations</w:t>
      </w:r>
    </w:p>
    <w:p w14:paraId="133C4408" w14:textId="258F8D90" w:rsidR="00A3796E" w:rsidRPr="00A3796E" w:rsidRDefault="00A3796E" w:rsidP="00673DE0">
      <w:pPr>
        <w:pStyle w:val="Heading2"/>
        <w:jc w:val="both"/>
      </w:pPr>
      <w:r>
        <w:t>Should the Commission approve the continued use of the 4 CP methodology in determining demand allocation factors for the corresponding applicable jurisdictions in this case?</w:t>
      </w:r>
    </w:p>
    <w:p w14:paraId="4425E659" w14:textId="399037C7" w:rsidR="00FA2ACC" w:rsidRPr="002E5C5D" w:rsidRDefault="00FA2ACC" w:rsidP="00673DE0">
      <w:pPr>
        <w:pStyle w:val="Heading2"/>
        <w:jc w:val="both"/>
      </w:pPr>
      <w:r w:rsidRPr="002E5C5D">
        <w:t xml:space="preserve">Should Evergy be allowed to defer to a regulatory asset the “over-recovered” amount of net fuel, purchased power and off-systems sales </w:t>
      </w:r>
      <w:r>
        <w:t xml:space="preserve">related to Winter Storm Uri </w:t>
      </w:r>
      <w:r w:rsidRPr="002E5C5D">
        <w:t>that occurred due to differences in jurisdictional allocators used by Kansas and Missouri?</w:t>
      </w:r>
    </w:p>
    <w:p w14:paraId="4186C1B8" w14:textId="579490E9" w:rsidR="00FA2ACC" w:rsidRPr="00FA2ACC" w:rsidRDefault="00FA2ACC" w:rsidP="00673DE0">
      <w:pPr>
        <w:pStyle w:val="Heading3"/>
        <w:jc w:val="both"/>
      </w:pPr>
      <w:r w:rsidRPr="000D6365">
        <w:t xml:space="preserve">If so, what </w:t>
      </w:r>
      <w:r w:rsidRPr="0068591A">
        <w:t>amount</w:t>
      </w:r>
      <w:r w:rsidRPr="000D6365">
        <w:t xml:space="preserve"> should Evergy be allowed to defer?</w:t>
      </w:r>
    </w:p>
    <w:p w14:paraId="727CA3BE" w14:textId="77777777" w:rsidR="00AC4DE4" w:rsidRDefault="00AC4DE4" w:rsidP="00673DE0">
      <w:pPr>
        <w:pStyle w:val="Heading1"/>
        <w:spacing w:before="240"/>
        <w:jc w:val="both"/>
      </w:pPr>
      <w:r>
        <w:t xml:space="preserve">Lake Road Plant electric/steam allocation factors (West only) – </w:t>
      </w:r>
    </w:p>
    <w:p w14:paraId="59823035" w14:textId="2D21D3B3" w:rsidR="00361ECE" w:rsidRPr="00AB26D0" w:rsidRDefault="00AC4DE4" w:rsidP="00673DE0">
      <w:pPr>
        <w:pStyle w:val="Heading2"/>
        <w:spacing w:after="240"/>
        <w:jc w:val="both"/>
      </w:pPr>
      <w:r>
        <w:t>Recognizing that Evergy West’s Lake Road Plant simultaneously serves both electric and steam customers, what factors should the Commission use to allocate total rate base, expenses, and revenues to its electric customers?</w:t>
      </w:r>
    </w:p>
    <w:p w14:paraId="5D00FB19" w14:textId="77777777" w:rsidR="00155F55" w:rsidRPr="00155F55" w:rsidRDefault="00155F55" w:rsidP="00673DE0">
      <w:pPr>
        <w:pStyle w:val="Heading1"/>
        <w:jc w:val="both"/>
        <w:rPr>
          <w:rFonts w:cs="Arial"/>
        </w:rPr>
      </w:pPr>
      <w:r w:rsidRPr="00155F55">
        <w:rPr>
          <w:rFonts w:cs="Arial"/>
        </w:rPr>
        <w:t>Payroll Overtime</w:t>
      </w:r>
    </w:p>
    <w:p w14:paraId="09ADD75C" w14:textId="77777777" w:rsidR="00155F55" w:rsidRPr="002E5C5D" w:rsidRDefault="00155F55" w:rsidP="00673DE0">
      <w:pPr>
        <w:pStyle w:val="Heading2"/>
        <w:jc w:val="both"/>
      </w:pPr>
      <w:r w:rsidRPr="002E5C5D">
        <w:t>What level of payroll overtime should be included in rates?</w:t>
      </w:r>
    </w:p>
    <w:p w14:paraId="6D2B9FC3" w14:textId="77777777" w:rsidR="00155F55" w:rsidRPr="002E5C5D" w:rsidRDefault="00155F55" w:rsidP="00673DE0">
      <w:pPr>
        <w:pStyle w:val="Heading2"/>
        <w:jc w:val="both"/>
      </w:pPr>
      <w:r w:rsidRPr="002E5C5D">
        <w:t>Should an escalation factor be applied to overtime?</w:t>
      </w:r>
    </w:p>
    <w:p w14:paraId="3D9CF6A6" w14:textId="77777777" w:rsidR="00155F55" w:rsidRPr="002E5C5D" w:rsidRDefault="00155F55" w:rsidP="00673DE0">
      <w:pPr>
        <w:pStyle w:val="Heading2"/>
        <w:jc w:val="both"/>
      </w:pPr>
      <w:r w:rsidRPr="002E5C5D">
        <w:t>Should the O&amp;M ratio reflect an average of multiple years or the last known O&amp;M amount for calendar year 2021?</w:t>
      </w:r>
    </w:p>
    <w:p w14:paraId="62773404" w14:textId="77777777" w:rsidR="002E5C5D" w:rsidRPr="002E5C5D" w:rsidRDefault="0070317B" w:rsidP="00673DE0">
      <w:pPr>
        <w:pStyle w:val="Heading1"/>
        <w:spacing w:before="240"/>
        <w:jc w:val="both"/>
        <w:rPr>
          <w:rFonts w:cs="Arial"/>
          <w:b w:val="0"/>
          <w:sz w:val="24"/>
          <w:szCs w:val="24"/>
        </w:rPr>
      </w:pPr>
      <w:r w:rsidRPr="002E5C5D">
        <w:rPr>
          <w:rFonts w:eastAsiaTheme="minorHAnsi"/>
        </w:rPr>
        <w:t xml:space="preserve">Cash Working </w:t>
      </w:r>
      <w:r w:rsidRPr="0068591A">
        <w:t>Capital</w:t>
      </w:r>
      <w:r w:rsidRPr="002E5C5D">
        <w:rPr>
          <w:rFonts w:eastAsiaTheme="minorHAnsi"/>
        </w:rPr>
        <w:t>:</w:t>
      </w:r>
    </w:p>
    <w:p w14:paraId="228A47F0" w14:textId="09F72A8F" w:rsidR="00B90877" w:rsidRDefault="0070317B" w:rsidP="00673DE0">
      <w:pPr>
        <w:pStyle w:val="Heading2"/>
        <w:jc w:val="both"/>
        <w:rPr>
          <w:rFonts w:eastAsiaTheme="minorHAnsi"/>
        </w:rPr>
      </w:pPr>
      <w:r w:rsidRPr="002E5C5D">
        <w:rPr>
          <w:rFonts w:ascii="Times New Roman" w:eastAsiaTheme="minorHAnsi" w:hAnsi="Times New Roman" w:cs="Times New Roman"/>
        </w:rPr>
        <w:t xml:space="preserve"> </w:t>
      </w:r>
      <w:r w:rsidRPr="002E5C5D">
        <w:t>What</w:t>
      </w:r>
      <w:r w:rsidRPr="002E5C5D">
        <w:rPr>
          <w:rFonts w:eastAsiaTheme="minorHAnsi"/>
        </w:rPr>
        <w:t xml:space="preserve"> is the appropriate expense lag days for measuring Evergy’s Missouri income tax lag for purposes of cash working capital?</w:t>
      </w:r>
    </w:p>
    <w:p w14:paraId="2BDC1973" w14:textId="77777777" w:rsidR="00673DE0" w:rsidRPr="00673DE0" w:rsidRDefault="00B90877" w:rsidP="00673DE0">
      <w:pPr>
        <w:pStyle w:val="Heading2"/>
        <w:rPr>
          <w:rFonts w:cs="Arial"/>
          <w:szCs w:val="24"/>
        </w:rPr>
      </w:pPr>
      <w:r>
        <w:t xml:space="preserve">What is the proper calculation of income tax balances within Cash Working Capital (“CWC”) to offset rate base? </w:t>
      </w:r>
    </w:p>
    <w:p w14:paraId="74ACD0B4" w14:textId="49ED3376" w:rsidR="002E5C5D" w:rsidRPr="002E5C5D" w:rsidRDefault="0070317B" w:rsidP="00673DE0">
      <w:pPr>
        <w:pStyle w:val="Heading1"/>
        <w:spacing w:before="240"/>
        <w:jc w:val="both"/>
        <w:rPr>
          <w:rFonts w:cs="Arial"/>
          <w:b w:val="0"/>
          <w:sz w:val="24"/>
          <w:szCs w:val="24"/>
        </w:rPr>
      </w:pPr>
      <w:r w:rsidRPr="002E5C5D">
        <w:rPr>
          <w:rFonts w:cs="Arial"/>
        </w:rPr>
        <w:t>Property Tax:</w:t>
      </w:r>
    </w:p>
    <w:p w14:paraId="09497455" w14:textId="77777777" w:rsidR="002E5C5D" w:rsidRPr="002E5C5D" w:rsidRDefault="0070317B" w:rsidP="00673DE0">
      <w:pPr>
        <w:pStyle w:val="Heading2"/>
        <w:jc w:val="both"/>
        <w:rPr>
          <w:rFonts w:cs="Arial"/>
          <w:szCs w:val="24"/>
        </w:rPr>
      </w:pPr>
      <w:r w:rsidRPr="002E5C5D">
        <w:t>What is the appropriate level of Missouri property tax to be included in rates?</w:t>
      </w:r>
    </w:p>
    <w:p w14:paraId="3C119D45" w14:textId="3817EF70" w:rsidR="00361ECE" w:rsidRPr="002E5C5D" w:rsidRDefault="0070317B" w:rsidP="00673DE0">
      <w:pPr>
        <w:pStyle w:val="Heading2"/>
        <w:spacing w:after="240"/>
        <w:jc w:val="both"/>
        <w:rPr>
          <w:rFonts w:cs="Arial"/>
          <w:szCs w:val="24"/>
        </w:rPr>
      </w:pPr>
      <w:r w:rsidRPr="002E5C5D">
        <w:rPr>
          <w:rFonts w:cs="Arial"/>
          <w:szCs w:val="24"/>
        </w:rPr>
        <w:t>What base level of property taxes should the Commission approve for Evergy to track property tax?</w:t>
      </w:r>
    </w:p>
    <w:p w14:paraId="0A5EB1DA" w14:textId="77777777" w:rsidR="005E627E" w:rsidRPr="005E627E" w:rsidRDefault="00361ECE" w:rsidP="00673DE0">
      <w:pPr>
        <w:pStyle w:val="Heading1"/>
        <w:jc w:val="both"/>
        <w:rPr>
          <w:rFonts w:cs="Arial"/>
        </w:rPr>
      </w:pPr>
      <w:r w:rsidRPr="005E627E">
        <w:rPr>
          <w:rFonts w:cs="Arial"/>
        </w:rPr>
        <w:t>Income Taxes</w:t>
      </w:r>
    </w:p>
    <w:p w14:paraId="02050AE7" w14:textId="3D8664BC" w:rsidR="00B90877" w:rsidRDefault="00B90877" w:rsidP="00673DE0">
      <w:pPr>
        <w:pStyle w:val="Heading2"/>
        <w:jc w:val="both"/>
      </w:pPr>
      <w:r>
        <w:t xml:space="preserve">How should the General Business Credits (“GBC”) accrued by Evergy </w:t>
      </w:r>
      <w:r w:rsidR="002B0E2B">
        <w:t xml:space="preserve">Metro </w:t>
      </w:r>
      <w:r>
        <w:t>be treated?</w:t>
      </w:r>
    </w:p>
    <w:p w14:paraId="167FF9B1" w14:textId="1CCBBC19" w:rsidR="00B90877" w:rsidRDefault="00B90877" w:rsidP="00673DE0">
      <w:pPr>
        <w:pStyle w:val="Heading3"/>
        <w:jc w:val="both"/>
      </w:pPr>
      <w:r>
        <w:t>Shoul</w:t>
      </w:r>
      <w:r w:rsidR="00673DE0">
        <w:t>d any portion of the accrued GBC</w:t>
      </w:r>
      <w:r>
        <w:t xml:space="preserve"> be used to offset the tax expense to be collected through Evergy</w:t>
      </w:r>
      <w:r w:rsidR="002B0E2B">
        <w:t xml:space="preserve"> Metro</w:t>
      </w:r>
      <w:r>
        <w:t>’s rates?</w:t>
      </w:r>
    </w:p>
    <w:p w14:paraId="469AB081" w14:textId="21B8FB33" w:rsidR="00B90877" w:rsidRPr="00B90877" w:rsidRDefault="00B90877" w:rsidP="00673DE0">
      <w:pPr>
        <w:pStyle w:val="Heading3"/>
        <w:jc w:val="both"/>
      </w:pPr>
      <w:r>
        <w:lastRenderedPageBreak/>
        <w:t>Shoul</w:t>
      </w:r>
      <w:r w:rsidR="00673DE0">
        <w:t>d any portion of the accrued GBC</w:t>
      </w:r>
      <w:r>
        <w:t xml:space="preserve"> be included as a reduction to Evergy </w:t>
      </w:r>
      <w:r w:rsidR="002B0E2B">
        <w:t>Metro</w:t>
      </w:r>
      <w:r>
        <w:t>’s rate base?</w:t>
      </w:r>
    </w:p>
    <w:p w14:paraId="3B0140BC" w14:textId="1B66C182" w:rsidR="00361ECE" w:rsidRDefault="005E627E" w:rsidP="00673DE0">
      <w:pPr>
        <w:pStyle w:val="Heading2"/>
        <w:jc w:val="both"/>
      </w:pPr>
      <w:r w:rsidRPr="002E5C5D">
        <w:t>Should tax losses claimed on IRS Form 4797 offset the Sibley AAO?</w:t>
      </w:r>
    </w:p>
    <w:p w14:paraId="22CCBB4A" w14:textId="77777777" w:rsidR="00D36AEB" w:rsidRPr="00AA21F6" w:rsidRDefault="00D36AEB" w:rsidP="00673DE0">
      <w:pPr>
        <w:pStyle w:val="Heading1"/>
        <w:spacing w:before="240"/>
        <w:jc w:val="both"/>
      </w:pPr>
      <w:r w:rsidRPr="00AA21F6">
        <w:t>Late Fees</w:t>
      </w:r>
    </w:p>
    <w:p w14:paraId="2339CBF1" w14:textId="01079D31" w:rsidR="00D36AEB" w:rsidRPr="00AA21F6" w:rsidRDefault="00D36AEB" w:rsidP="00673DE0">
      <w:pPr>
        <w:pStyle w:val="Heading2"/>
        <w:jc w:val="both"/>
      </w:pPr>
      <w:r w:rsidRPr="00AA21F6">
        <w:t xml:space="preserve">Should </w:t>
      </w:r>
      <w:r>
        <w:t>Evergy</w:t>
      </w:r>
      <w:r w:rsidRPr="00AA21F6">
        <w:t>’s late fee be reduced from 0.5% to 0.25%?</w:t>
      </w:r>
    </w:p>
    <w:p w14:paraId="7B51B005" w14:textId="77777777" w:rsidR="00D36AEB" w:rsidRPr="00AA21F6" w:rsidRDefault="00D36AEB" w:rsidP="00673DE0">
      <w:pPr>
        <w:pStyle w:val="Heading2"/>
        <w:jc w:val="both"/>
      </w:pPr>
      <w:r w:rsidRPr="00AA21F6">
        <w:t>Should Evergy’s website be updated to explicitly state all Commission-approved fee amounts and should those amounts be easily accessible by using the Company website’s search engine?</w:t>
      </w:r>
    </w:p>
    <w:p w14:paraId="1AA0B073" w14:textId="77777777" w:rsidR="00D36AEB" w:rsidRPr="00AA21F6" w:rsidRDefault="00D36AEB" w:rsidP="00673DE0">
      <w:pPr>
        <w:pStyle w:val="Heading1"/>
        <w:spacing w:before="240"/>
        <w:jc w:val="both"/>
      </w:pPr>
      <w:r w:rsidRPr="00AA21F6">
        <w:t xml:space="preserve">J.D. Power Customer Satisfaction Reports &amp; 5-year roadmap of executable increments filings </w:t>
      </w:r>
    </w:p>
    <w:p w14:paraId="501A4ACE" w14:textId="5381CFFC" w:rsidR="00BD0D40" w:rsidRPr="00BD0D40" w:rsidRDefault="00D36AEB" w:rsidP="00673DE0">
      <w:pPr>
        <w:pStyle w:val="Heading2"/>
        <w:jc w:val="both"/>
      </w:pPr>
      <w:r w:rsidRPr="00AA21F6">
        <w:rPr>
          <w:rFonts w:cstheme="minorHAnsi"/>
        </w:rPr>
        <w:t xml:space="preserve">Should </w:t>
      </w:r>
      <w:r>
        <w:rPr>
          <w:rFonts w:cstheme="minorHAnsi"/>
        </w:rPr>
        <w:t xml:space="preserve">Evergy </w:t>
      </w:r>
      <w:r w:rsidRPr="00AA21F6">
        <w:rPr>
          <w:rFonts w:cstheme="minorHAnsi"/>
        </w:rPr>
        <w:t xml:space="preserve">be required to file its </w:t>
      </w:r>
      <w:r>
        <w:t>future annual C</w:t>
      </w:r>
      <w:r w:rsidRPr="00647457">
        <w:t xml:space="preserve">ompany-specific J.D. Power Reports (not just the scores) as well as the Company’s five-year roadmap of executable increments in this docket together with memoranda that detail how </w:t>
      </w:r>
      <w:r>
        <w:t>Evergy</w:t>
      </w:r>
      <w:r w:rsidRPr="00647457">
        <w:t xml:space="preserve"> is improving its relationship with customers in light of the J.D. Power Report scores of </w:t>
      </w:r>
      <w:r>
        <w:t>Evergy</w:t>
      </w:r>
      <w:r w:rsidRPr="00647457">
        <w:t xml:space="preserve"> relative to its peers, as well as its relative rank across the United States, and specifically as it pertains to its cost of service by December 31 (including 2022) of each applicable year new rates are in effect</w:t>
      </w:r>
      <w:r>
        <w:t>?</w:t>
      </w:r>
      <w:r w:rsidRPr="00647457">
        <w:t xml:space="preserve"> </w:t>
      </w:r>
    </w:p>
    <w:p w14:paraId="5E8D83E8" w14:textId="77777777" w:rsidR="000D6365" w:rsidRDefault="000D6365" w:rsidP="00673DE0">
      <w:pPr>
        <w:pStyle w:val="Heading1"/>
        <w:spacing w:before="240"/>
        <w:jc w:val="both"/>
        <w:rPr>
          <w:rFonts w:cs="Arial"/>
        </w:rPr>
      </w:pPr>
      <w:r w:rsidRPr="000D6365">
        <w:rPr>
          <w:rFonts w:cs="Arial"/>
        </w:rPr>
        <w:t>Winter Storm Uri Jurisdictional Allocation Deferral</w:t>
      </w:r>
    </w:p>
    <w:p w14:paraId="050C74E5" w14:textId="77777777" w:rsidR="000D6365" w:rsidRPr="002E5C5D" w:rsidRDefault="000D6365" w:rsidP="00673DE0">
      <w:pPr>
        <w:pStyle w:val="Heading2"/>
        <w:jc w:val="both"/>
      </w:pPr>
      <w:r w:rsidRPr="002E5C5D">
        <w:t>Should Evergy be allowed to defer to a regulatory asset the “over-recovered” amount of net fuel, purchased power and off-systems sales that occurred due to differences in jurisdictional allocators used by Kansas and Missouri?</w:t>
      </w:r>
    </w:p>
    <w:p w14:paraId="13920A2F" w14:textId="6D6E09D6" w:rsidR="00184892" w:rsidRDefault="000D6365" w:rsidP="00673DE0">
      <w:pPr>
        <w:pStyle w:val="Heading3"/>
        <w:jc w:val="both"/>
      </w:pPr>
      <w:r w:rsidRPr="000D6365">
        <w:t xml:space="preserve">If so, what </w:t>
      </w:r>
      <w:r w:rsidRPr="0068591A">
        <w:t>amount</w:t>
      </w:r>
      <w:r w:rsidRPr="000D6365">
        <w:t xml:space="preserve"> should Evergy be allowed to defer?</w:t>
      </w:r>
    </w:p>
    <w:p w14:paraId="26683B16" w14:textId="77777777" w:rsidR="004E306D" w:rsidRPr="00F04902" w:rsidRDefault="004E306D" w:rsidP="00673DE0">
      <w:pPr>
        <w:pStyle w:val="Heading1"/>
        <w:spacing w:before="240"/>
        <w:jc w:val="both"/>
      </w:pPr>
      <w:r w:rsidRPr="00F04902">
        <w:t>Storm Reserve</w:t>
      </w:r>
    </w:p>
    <w:p w14:paraId="317C4A82" w14:textId="667306AC" w:rsidR="004E306D" w:rsidRPr="004E306D" w:rsidRDefault="004E306D" w:rsidP="00673DE0">
      <w:pPr>
        <w:pStyle w:val="Heading2"/>
        <w:jc w:val="both"/>
      </w:pPr>
      <w:r w:rsidRPr="003904CE">
        <w:t>Should the Commission establish a storm reserve for Evergy Metro and Evergy West?</w:t>
      </w:r>
    </w:p>
    <w:p w14:paraId="4B87484F" w14:textId="77777777" w:rsidR="00184892" w:rsidRPr="00184892" w:rsidRDefault="00184892" w:rsidP="00673DE0">
      <w:pPr>
        <w:pStyle w:val="Heading1"/>
        <w:spacing w:before="240"/>
        <w:jc w:val="both"/>
        <w:rPr>
          <w:rFonts w:cs="Arial"/>
          <w:color w:val="000000" w:themeColor="text1"/>
        </w:rPr>
      </w:pPr>
      <w:r w:rsidRPr="00184892">
        <w:rPr>
          <w:rFonts w:cs="Arial"/>
        </w:rPr>
        <w:t>Prospective Tracking</w:t>
      </w:r>
    </w:p>
    <w:p w14:paraId="31B99D2D" w14:textId="64786951" w:rsidR="00184892" w:rsidRDefault="00184892" w:rsidP="00673DE0">
      <w:pPr>
        <w:pStyle w:val="Heading2"/>
        <w:spacing w:after="240"/>
        <w:jc w:val="both"/>
      </w:pPr>
      <w:r w:rsidRPr="002E5C5D">
        <w:t>What period of time should prospective tracking be measured, through the true-up period May 2022, or through the estimated implementation of rates, November 2022?</w:t>
      </w:r>
    </w:p>
    <w:p w14:paraId="5E5FC54D" w14:textId="77777777" w:rsidR="0068591A" w:rsidRDefault="0068591A" w:rsidP="00673DE0">
      <w:pPr>
        <w:pStyle w:val="Heading1"/>
        <w:jc w:val="both"/>
      </w:pPr>
      <w:r w:rsidRPr="00F04902">
        <w:t>Uplight</w:t>
      </w:r>
      <w:r>
        <w:t xml:space="preserve"> </w:t>
      </w:r>
    </w:p>
    <w:p w14:paraId="1B20FB8F" w14:textId="77777777" w:rsidR="0068591A" w:rsidRDefault="0068591A" w:rsidP="00673DE0">
      <w:pPr>
        <w:pStyle w:val="Heading2"/>
        <w:jc w:val="both"/>
        <w:rPr>
          <w:rFonts w:eastAsiaTheme="minorHAnsi"/>
          <w:b/>
        </w:rPr>
      </w:pPr>
      <w:r>
        <w:rPr>
          <w:rFonts w:eastAsiaTheme="minorHAnsi"/>
        </w:rPr>
        <w:t>Should the U</w:t>
      </w:r>
      <w:r w:rsidRPr="00120B98">
        <w:rPr>
          <w:rFonts w:eastAsiaTheme="minorHAnsi"/>
        </w:rPr>
        <w:t>plight transaction be excluded from Evergy Metro’s and Evergy West’s cost of service</w:t>
      </w:r>
      <w:r>
        <w:rPr>
          <w:rFonts w:eastAsiaTheme="minorHAnsi"/>
        </w:rPr>
        <w:t>?</w:t>
      </w:r>
    </w:p>
    <w:p w14:paraId="25810295" w14:textId="6813CA39" w:rsidR="0068591A" w:rsidRPr="00184892" w:rsidRDefault="0068591A" w:rsidP="00673DE0">
      <w:pPr>
        <w:pStyle w:val="Heading3"/>
        <w:jc w:val="both"/>
      </w:pPr>
      <w:r>
        <w:rPr>
          <w:rFonts w:eastAsiaTheme="minorHAnsi"/>
        </w:rPr>
        <w:t xml:space="preserve">If not, should the costs of the Uplight transaction be allocated to Missouri and Kansas? </w:t>
      </w:r>
    </w:p>
    <w:p w14:paraId="21D094C8" w14:textId="611C7193" w:rsidR="00AB26D0" w:rsidRDefault="00AB26D0" w:rsidP="00673DE0">
      <w:pPr>
        <w:pStyle w:val="Heading1"/>
        <w:spacing w:before="240"/>
        <w:jc w:val="both"/>
      </w:pPr>
      <w:r>
        <w:t>Streetlighting (West Only)</w:t>
      </w:r>
    </w:p>
    <w:p w14:paraId="59E8706E" w14:textId="77777777" w:rsidR="00AB26D0" w:rsidRDefault="00AB26D0" w:rsidP="00673DE0">
      <w:pPr>
        <w:pStyle w:val="Heading2"/>
        <w:jc w:val="both"/>
      </w:pPr>
      <w:r>
        <w:lastRenderedPageBreak/>
        <w:t>Should language be added to Evergy West’s Municipal Street Lighting Service Tariff providing that streetlights installed by a city contractor or a city-approved developer shall be deemed to be owned by Evergy, after inspection and approval by the Company, and shall not be subject to additional installation or structure charges?</w:t>
      </w:r>
    </w:p>
    <w:p w14:paraId="14955923" w14:textId="77777777" w:rsidR="00AB26D0" w:rsidRDefault="00AB26D0" w:rsidP="00673DE0">
      <w:pPr>
        <w:pStyle w:val="Heading2"/>
        <w:jc w:val="both"/>
      </w:pPr>
      <w:r>
        <w:t>Should language be added to Evergy West’s Municipal Street Lighting Service Tariff providing that no “Optional Equipment” charges in Section 4.0 or 5.0 of Municipal Street Lighting Service Tariff will be charged to streetlight facilities which are deemed to be owned by the Company and installed by a city or its contractor, or by a developer of a city-approved development?</w:t>
      </w:r>
    </w:p>
    <w:p w14:paraId="6BF8E5EE" w14:textId="77777777" w:rsidR="00AB26D0" w:rsidRDefault="00AB26D0" w:rsidP="00673DE0">
      <w:pPr>
        <w:pStyle w:val="Heading2"/>
        <w:jc w:val="both"/>
      </w:pPr>
      <w:r>
        <w:t xml:space="preserve">Should the Company be required to remove from its rate base streetlights that </w:t>
      </w:r>
      <w:bookmarkStart w:id="1" w:name="_Hlk111644528"/>
      <w:r>
        <w:t>were installed by city contractors or city-approved developers?</w:t>
      </w:r>
      <w:bookmarkEnd w:id="1"/>
    </w:p>
    <w:p w14:paraId="4AD0AC3E" w14:textId="7286F198" w:rsidR="000D6365" w:rsidRPr="008E16B7" w:rsidRDefault="00AB26D0" w:rsidP="00673DE0">
      <w:pPr>
        <w:pStyle w:val="Heading2"/>
        <w:spacing w:after="240"/>
        <w:jc w:val="both"/>
      </w:pPr>
      <w:r>
        <w:t>Should the Company be required not to charge the City of St. Joseph for breakaway bases, undergrounding and other “Optional Equipment” charges under Sections 4.0 and 5.0 of the tariff for streetlights that were installed by city contractors or city-approved developers?</w:t>
      </w:r>
    </w:p>
    <w:p w14:paraId="0A0DDA0C" w14:textId="77777777" w:rsidR="006C6620" w:rsidRDefault="006C6620" w:rsidP="00673DE0">
      <w:pPr>
        <w:pStyle w:val="Heading1"/>
        <w:jc w:val="both"/>
      </w:pPr>
      <w:r>
        <w:t>Schedule SIL</w:t>
      </w:r>
    </w:p>
    <w:p w14:paraId="5072C624" w14:textId="77777777" w:rsidR="006C6620" w:rsidRDefault="006C6620" w:rsidP="00673DE0">
      <w:pPr>
        <w:pStyle w:val="Heading2"/>
        <w:jc w:val="both"/>
      </w:pPr>
      <w:r>
        <w:t>Has Evergy imprudently implemented Schedule SIL in combination with the requirements contained within the Commission approved Stipulation and Agreement in Case No. EO-2019-0244?</w:t>
      </w:r>
      <w:r w:rsidRPr="006B281C">
        <w:t xml:space="preserve"> </w:t>
      </w:r>
    </w:p>
    <w:p w14:paraId="5E282D5D" w14:textId="77777777" w:rsidR="006C6620" w:rsidRDefault="006C6620" w:rsidP="00673DE0">
      <w:pPr>
        <w:pStyle w:val="Heading2"/>
        <w:jc w:val="both"/>
      </w:pPr>
      <w:r>
        <w:t>What is the appropriate revenue requirement adjustment in this case related to Evergy’s implementation of Schedule SIL?</w:t>
      </w:r>
    </w:p>
    <w:p w14:paraId="46614444" w14:textId="77777777" w:rsidR="006C6620" w:rsidRDefault="006C6620" w:rsidP="00673DE0">
      <w:pPr>
        <w:pStyle w:val="Heading2"/>
        <w:jc w:val="both"/>
      </w:pPr>
      <w:r>
        <w:t>Should Evergy have identified and removed costs of load imbalances attributable to Schedule SIL service in this rate case?</w:t>
      </w:r>
    </w:p>
    <w:p w14:paraId="2A0D54F9" w14:textId="6CCA2C91" w:rsidR="00361ECE" w:rsidRPr="008E16B7" w:rsidRDefault="006C6620" w:rsidP="00673DE0">
      <w:pPr>
        <w:pStyle w:val="Heading2"/>
        <w:spacing w:after="240"/>
        <w:jc w:val="both"/>
      </w:pPr>
      <w:r>
        <w:t>Should Evergy be required to keep records of the finite expected hourly load of Schedule SIL customers included in the EMW SPP day-ahead commitments?</w:t>
      </w:r>
    </w:p>
    <w:p w14:paraId="0AD0C445" w14:textId="77777777" w:rsidR="006C6620" w:rsidRDefault="006C6620" w:rsidP="00673DE0">
      <w:pPr>
        <w:pStyle w:val="Heading1"/>
        <w:jc w:val="both"/>
        <w:rPr>
          <w:rFonts w:eastAsia="Times New Roman"/>
        </w:rPr>
      </w:pPr>
      <w:r>
        <w:rPr>
          <w:rFonts w:eastAsia="Times New Roman"/>
        </w:rPr>
        <w:t>Reporting Requirements</w:t>
      </w:r>
    </w:p>
    <w:p w14:paraId="5B2470F9" w14:textId="7E2BB499" w:rsidR="006C6620" w:rsidRDefault="006C6620" w:rsidP="00673DE0">
      <w:pPr>
        <w:pStyle w:val="Heading2"/>
        <w:jc w:val="both"/>
        <w:rPr>
          <w:rFonts w:eastAsia="Times New Roman"/>
        </w:rPr>
      </w:pPr>
      <w:r>
        <w:rPr>
          <w:rFonts w:eastAsia="Times New Roman"/>
        </w:rPr>
        <w:t>What, if any, reporting requirements should the Commission order related to reliability?</w:t>
      </w:r>
    </w:p>
    <w:p w14:paraId="4B4B3B17" w14:textId="04700DFF" w:rsidR="00361ECE" w:rsidRPr="00673DE0" w:rsidRDefault="001C2F2F" w:rsidP="00361ECE">
      <w:pPr>
        <w:pStyle w:val="Heading2"/>
        <w:jc w:val="both"/>
      </w:pPr>
      <w:r>
        <w:t>What, if any, reporting requirements should the Commission order related to PISA investments?</w:t>
      </w:r>
    </w:p>
    <w:p w14:paraId="2026D186" w14:textId="77777777" w:rsidR="00361ECE" w:rsidRPr="00673DE0" w:rsidRDefault="00361ECE" w:rsidP="00361ECE">
      <w:pPr>
        <w:jc w:val="both"/>
        <w:rPr>
          <w:rFonts w:ascii="Arial" w:hAnsi="Arial" w:cs="Arial"/>
          <w:sz w:val="24"/>
          <w:szCs w:val="24"/>
        </w:rPr>
      </w:pPr>
      <w:r w:rsidRPr="00C31A78">
        <w:rPr>
          <w:rFonts w:ascii="Arial" w:hAnsi="Arial" w:cs="Arial"/>
        </w:rPr>
        <w:tab/>
      </w:r>
    </w:p>
    <w:p w14:paraId="4FA0A135" w14:textId="77777777" w:rsidR="00673DE0" w:rsidRDefault="00673DE0" w:rsidP="009475FD">
      <w:pPr>
        <w:spacing w:after="0" w:line="240" w:lineRule="auto"/>
        <w:ind w:left="3600" w:firstLine="1440"/>
        <w:rPr>
          <w:rFonts w:ascii="Arial" w:hAnsi="Arial" w:cs="Arial"/>
          <w:sz w:val="24"/>
          <w:szCs w:val="24"/>
        </w:rPr>
      </w:pPr>
    </w:p>
    <w:p w14:paraId="7F52A4DB" w14:textId="77777777" w:rsidR="00673DE0" w:rsidRDefault="00673DE0" w:rsidP="009475FD">
      <w:pPr>
        <w:spacing w:after="0" w:line="240" w:lineRule="auto"/>
        <w:ind w:left="3600" w:firstLine="1440"/>
        <w:rPr>
          <w:rFonts w:ascii="Arial" w:hAnsi="Arial" w:cs="Arial"/>
          <w:sz w:val="24"/>
          <w:szCs w:val="24"/>
        </w:rPr>
      </w:pPr>
    </w:p>
    <w:p w14:paraId="4C765531" w14:textId="77777777" w:rsidR="00673DE0" w:rsidRDefault="00673DE0" w:rsidP="009475FD">
      <w:pPr>
        <w:spacing w:after="0" w:line="240" w:lineRule="auto"/>
        <w:ind w:left="3600" w:firstLine="1440"/>
        <w:rPr>
          <w:rFonts w:ascii="Arial" w:hAnsi="Arial" w:cs="Arial"/>
          <w:sz w:val="24"/>
          <w:szCs w:val="24"/>
        </w:rPr>
      </w:pPr>
    </w:p>
    <w:p w14:paraId="07270EA0" w14:textId="77777777" w:rsidR="00673DE0" w:rsidRDefault="00673DE0" w:rsidP="009475FD">
      <w:pPr>
        <w:spacing w:after="0" w:line="240" w:lineRule="auto"/>
        <w:ind w:left="3600" w:firstLine="1440"/>
        <w:rPr>
          <w:rFonts w:ascii="Arial" w:hAnsi="Arial" w:cs="Arial"/>
          <w:sz w:val="24"/>
          <w:szCs w:val="24"/>
        </w:rPr>
      </w:pPr>
    </w:p>
    <w:p w14:paraId="7A46EFF7" w14:textId="77777777" w:rsidR="00673DE0" w:rsidRDefault="00673DE0" w:rsidP="009475FD">
      <w:pPr>
        <w:spacing w:after="0" w:line="240" w:lineRule="auto"/>
        <w:ind w:left="3600" w:firstLine="1440"/>
        <w:rPr>
          <w:rFonts w:ascii="Arial" w:hAnsi="Arial" w:cs="Arial"/>
          <w:sz w:val="24"/>
          <w:szCs w:val="24"/>
        </w:rPr>
      </w:pPr>
    </w:p>
    <w:p w14:paraId="24657158" w14:textId="77777777" w:rsidR="00673DE0" w:rsidRDefault="00673DE0" w:rsidP="009475FD">
      <w:pPr>
        <w:spacing w:after="0" w:line="240" w:lineRule="auto"/>
        <w:ind w:left="3600" w:firstLine="1440"/>
        <w:rPr>
          <w:rFonts w:ascii="Arial" w:hAnsi="Arial" w:cs="Arial"/>
          <w:sz w:val="24"/>
          <w:szCs w:val="24"/>
        </w:rPr>
      </w:pPr>
    </w:p>
    <w:p w14:paraId="2ACD2CFD" w14:textId="77777777" w:rsidR="00673DE0" w:rsidRDefault="00673DE0" w:rsidP="009475FD">
      <w:pPr>
        <w:spacing w:after="0" w:line="240" w:lineRule="auto"/>
        <w:ind w:left="3600" w:firstLine="1440"/>
        <w:rPr>
          <w:rFonts w:ascii="Arial" w:hAnsi="Arial" w:cs="Arial"/>
          <w:sz w:val="24"/>
          <w:szCs w:val="24"/>
        </w:rPr>
      </w:pPr>
    </w:p>
    <w:p w14:paraId="656822FF" w14:textId="77777777" w:rsidR="00673DE0" w:rsidRDefault="00673DE0" w:rsidP="009475FD">
      <w:pPr>
        <w:spacing w:after="0" w:line="240" w:lineRule="auto"/>
        <w:ind w:left="3600" w:firstLine="1440"/>
        <w:rPr>
          <w:rFonts w:ascii="Arial" w:hAnsi="Arial" w:cs="Arial"/>
          <w:sz w:val="24"/>
          <w:szCs w:val="24"/>
        </w:rPr>
      </w:pPr>
    </w:p>
    <w:p w14:paraId="6CAE7C8B" w14:textId="77777777" w:rsidR="00673DE0" w:rsidRDefault="00673DE0" w:rsidP="009475FD">
      <w:pPr>
        <w:spacing w:after="0" w:line="240" w:lineRule="auto"/>
        <w:ind w:left="3600" w:firstLine="1440"/>
        <w:rPr>
          <w:rFonts w:ascii="Arial" w:hAnsi="Arial" w:cs="Arial"/>
          <w:sz w:val="24"/>
          <w:szCs w:val="24"/>
        </w:rPr>
      </w:pPr>
    </w:p>
    <w:p w14:paraId="1B3D2271" w14:textId="77777777" w:rsidR="00673DE0" w:rsidRDefault="00673DE0" w:rsidP="009475FD">
      <w:pPr>
        <w:spacing w:after="0" w:line="240" w:lineRule="auto"/>
        <w:ind w:left="3600" w:firstLine="1440"/>
        <w:rPr>
          <w:rFonts w:ascii="Arial" w:hAnsi="Arial" w:cs="Arial"/>
          <w:sz w:val="24"/>
          <w:szCs w:val="24"/>
        </w:rPr>
      </w:pPr>
    </w:p>
    <w:p w14:paraId="68703ED5" w14:textId="77777777" w:rsidR="00673DE0" w:rsidRDefault="00673DE0" w:rsidP="009475FD">
      <w:pPr>
        <w:spacing w:after="0" w:line="240" w:lineRule="auto"/>
        <w:ind w:left="3600" w:firstLine="1440"/>
        <w:rPr>
          <w:rFonts w:ascii="Arial" w:hAnsi="Arial" w:cs="Arial"/>
          <w:sz w:val="24"/>
          <w:szCs w:val="24"/>
        </w:rPr>
      </w:pPr>
    </w:p>
    <w:p w14:paraId="5F78FDE7" w14:textId="77777777" w:rsidR="00673DE0" w:rsidRDefault="00673DE0" w:rsidP="009475FD">
      <w:pPr>
        <w:spacing w:after="0" w:line="240" w:lineRule="auto"/>
        <w:ind w:left="3600" w:firstLine="1440"/>
        <w:rPr>
          <w:rFonts w:ascii="Arial" w:hAnsi="Arial" w:cs="Arial"/>
          <w:sz w:val="24"/>
          <w:szCs w:val="24"/>
        </w:rPr>
      </w:pPr>
    </w:p>
    <w:p w14:paraId="0C40D84D" w14:textId="5A21D86F" w:rsidR="00361ECE" w:rsidRPr="00673DE0" w:rsidRDefault="00361ECE" w:rsidP="009475FD">
      <w:pPr>
        <w:spacing w:after="0" w:line="240" w:lineRule="auto"/>
        <w:ind w:left="3600" w:firstLine="1440"/>
        <w:rPr>
          <w:rFonts w:ascii="Arial" w:hAnsi="Arial" w:cs="Arial"/>
          <w:sz w:val="24"/>
          <w:szCs w:val="24"/>
        </w:rPr>
      </w:pPr>
      <w:r w:rsidRPr="00673DE0">
        <w:rPr>
          <w:rFonts w:ascii="Arial" w:hAnsi="Arial" w:cs="Arial"/>
          <w:sz w:val="24"/>
          <w:szCs w:val="24"/>
        </w:rPr>
        <w:lastRenderedPageBreak/>
        <w:t>Respectfully submitted,</w:t>
      </w:r>
    </w:p>
    <w:p w14:paraId="50A1AA7F" w14:textId="77777777" w:rsidR="006C6620" w:rsidRPr="00673DE0" w:rsidRDefault="006C6620" w:rsidP="00673DE0">
      <w:pPr>
        <w:spacing w:after="0" w:line="240" w:lineRule="auto"/>
        <w:ind w:left="3600" w:firstLine="1440"/>
        <w:jc w:val="both"/>
        <w:rPr>
          <w:rFonts w:ascii="Arial" w:hAnsi="Arial" w:cs="Arial"/>
          <w:sz w:val="24"/>
          <w:szCs w:val="24"/>
        </w:rPr>
      </w:pPr>
    </w:p>
    <w:p w14:paraId="2EB6B48D"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b/>
          <w:sz w:val="24"/>
          <w:szCs w:val="24"/>
          <w:u w:val="single"/>
        </w:rPr>
      </w:pPr>
      <w:r w:rsidRPr="00673DE0">
        <w:rPr>
          <w:rFonts w:ascii="Arial" w:hAnsi="Arial" w:cs="Arial"/>
          <w:b/>
          <w:sz w:val="24"/>
          <w:szCs w:val="24"/>
          <w:u w:val="single"/>
        </w:rPr>
        <w:t>/s/ Nicole Mers</w:t>
      </w:r>
    </w:p>
    <w:p w14:paraId="32395001"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Nicole Mers</w:t>
      </w:r>
    </w:p>
    <w:p w14:paraId="5BBEF47A"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Deputy Counsel</w:t>
      </w:r>
    </w:p>
    <w:p w14:paraId="47B5DC6A"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Missouri Bar No. 66766</w:t>
      </w:r>
    </w:p>
    <w:p w14:paraId="26D59E29"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 xml:space="preserve">Attorney for the Staff of the </w:t>
      </w:r>
    </w:p>
    <w:p w14:paraId="6C214197"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Missouri Public Service Commission</w:t>
      </w:r>
    </w:p>
    <w:p w14:paraId="52DE2E9F"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P.O. Box 360</w:t>
      </w:r>
    </w:p>
    <w:p w14:paraId="30AF71D7"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Jefferson City, MO 65012</w:t>
      </w:r>
    </w:p>
    <w:p w14:paraId="55AF040B"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(573) 751-6651 (Telephone)</w:t>
      </w:r>
    </w:p>
    <w:p w14:paraId="363B0A04" w14:textId="77777777" w:rsidR="00361ECE" w:rsidRPr="00673DE0" w:rsidRDefault="00361ECE" w:rsidP="00673DE0">
      <w:pPr>
        <w:autoSpaceDE w:val="0"/>
        <w:autoSpaceDN w:val="0"/>
        <w:adjustRightInd w:val="0"/>
        <w:spacing w:before="8" w:after="0" w:line="240" w:lineRule="auto"/>
        <w:ind w:left="4320" w:right="-20" w:firstLine="720"/>
        <w:jc w:val="both"/>
        <w:rPr>
          <w:rFonts w:ascii="Arial" w:hAnsi="Arial" w:cs="Arial"/>
          <w:sz w:val="24"/>
          <w:szCs w:val="24"/>
        </w:rPr>
      </w:pPr>
      <w:r w:rsidRPr="00673DE0">
        <w:rPr>
          <w:rFonts w:ascii="Arial" w:hAnsi="Arial" w:cs="Arial"/>
          <w:sz w:val="24"/>
          <w:szCs w:val="24"/>
        </w:rPr>
        <w:t>(573) 751-9285 (Fax)</w:t>
      </w:r>
    </w:p>
    <w:p w14:paraId="11FC0423" w14:textId="77777777" w:rsidR="00361ECE" w:rsidRPr="00673DE0" w:rsidRDefault="003127CB" w:rsidP="00673DE0">
      <w:pPr>
        <w:autoSpaceDE w:val="0"/>
        <w:autoSpaceDN w:val="0"/>
        <w:adjustRightInd w:val="0"/>
        <w:spacing w:before="8" w:after="0" w:line="240" w:lineRule="auto"/>
        <w:ind w:left="4320" w:right="-20" w:firstLine="720"/>
        <w:jc w:val="both"/>
        <w:rPr>
          <w:rFonts w:ascii="Arial" w:hAnsi="Arial" w:cs="Arial"/>
          <w:sz w:val="24"/>
          <w:szCs w:val="24"/>
        </w:rPr>
      </w:pPr>
      <w:hyperlink r:id="rId8" w:history="1">
        <w:r w:rsidR="00361ECE" w:rsidRPr="00673DE0">
          <w:rPr>
            <w:rStyle w:val="Hyperlink"/>
            <w:rFonts w:ascii="Arial" w:hAnsi="Arial" w:cs="Arial"/>
            <w:sz w:val="24"/>
            <w:szCs w:val="24"/>
          </w:rPr>
          <w:t>Nicole.mers@psc.mo.gov</w:t>
        </w:r>
      </w:hyperlink>
      <w:r w:rsidR="00361ECE" w:rsidRPr="00673DE0">
        <w:rPr>
          <w:rFonts w:ascii="Arial" w:hAnsi="Arial" w:cs="Arial"/>
          <w:sz w:val="24"/>
          <w:szCs w:val="24"/>
        </w:rPr>
        <w:t xml:space="preserve"> </w:t>
      </w:r>
    </w:p>
    <w:p w14:paraId="4ECA047D" w14:textId="7EEBD351" w:rsidR="00BD7ED5" w:rsidRDefault="00BD7ED5" w:rsidP="00361ECE">
      <w:pPr>
        <w:jc w:val="center"/>
        <w:rPr>
          <w:rFonts w:ascii="Arial" w:hAnsi="Arial" w:cs="Arial"/>
        </w:rPr>
      </w:pPr>
    </w:p>
    <w:p w14:paraId="0898D142" w14:textId="77777777" w:rsidR="00673DE0" w:rsidRPr="00673DE0" w:rsidRDefault="00673DE0" w:rsidP="00673DE0">
      <w:pPr>
        <w:jc w:val="center"/>
        <w:rPr>
          <w:rFonts w:ascii="Arial" w:hAnsi="Arial" w:cs="Arial"/>
          <w:b/>
          <w:bCs/>
          <w:sz w:val="24"/>
          <w:szCs w:val="24"/>
          <w:u w:val="single"/>
        </w:rPr>
      </w:pPr>
      <w:r w:rsidRPr="00673DE0">
        <w:rPr>
          <w:rFonts w:ascii="Arial" w:hAnsi="Arial" w:cs="Arial"/>
          <w:b/>
          <w:bCs/>
          <w:sz w:val="24"/>
          <w:szCs w:val="24"/>
          <w:u w:val="single"/>
        </w:rPr>
        <w:t>CERTIFICATE OF SERVICE</w:t>
      </w:r>
    </w:p>
    <w:p w14:paraId="69A08C8B" w14:textId="77777777" w:rsidR="00673DE0" w:rsidRPr="00673DE0" w:rsidRDefault="00673DE0" w:rsidP="00673DE0">
      <w:pPr>
        <w:jc w:val="both"/>
        <w:rPr>
          <w:rFonts w:ascii="Arial" w:hAnsi="Arial" w:cs="Arial"/>
          <w:b/>
          <w:bCs/>
          <w:sz w:val="24"/>
          <w:szCs w:val="24"/>
        </w:rPr>
      </w:pPr>
    </w:p>
    <w:p w14:paraId="4F3C99D8" w14:textId="205458B5" w:rsidR="00673DE0" w:rsidRPr="00673DE0" w:rsidRDefault="00673DE0" w:rsidP="00673DE0">
      <w:pPr>
        <w:ind w:firstLine="720"/>
        <w:jc w:val="both"/>
        <w:rPr>
          <w:rFonts w:ascii="Arial" w:hAnsi="Arial" w:cs="Arial"/>
          <w:sz w:val="24"/>
          <w:szCs w:val="24"/>
        </w:rPr>
      </w:pPr>
      <w:r w:rsidRPr="00673DE0">
        <w:rPr>
          <w:rFonts w:ascii="Arial" w:hAnsi="Arial" w:cs="Arial"/>
          <w:sz w:val="24"/>
          <w:szCs w:val="24"/>
        </w:rPr>
        <w:t xml:space="preserve">I hereby certify that copies of the foregoing have been mailed, hand-delivered, transmitted by facsimile or electronically mailed to all counsel of record this </w:t>
      </w:r>
      <w:r>
        <w:rPr>
          <w:rFonts w:ascii="Arial" w:hAnsi="Arial" w:cs="Arial"/>
          <w:sz w:val="24"/>
          <w:szCs w:val="24"/>
        </w:rPr>
        <w:t>18</w:t>
      </w:r>
      <w:r w:rsidRPr="00673DE0">
        <w:rPr>
          <w:rFonts w:ascii="Arial" w:hAnsi="Arial" w:cs="Arial"/>
          <w:sz w:val="24"/>
          <w:szCs w:val="24"/>
        </w:rPr>
        <w:t>th</w:t>
      </w:r>
      <w:r w:rsidRPr="00673DE0">
        <w:rPr>
          <w:rFonts w:ascii="Arial" w:hAnsi="Arial" w:cs="Arial"/>
          <w:sz w:val="24"/>
          <w:szCs w:val="24"/>
          <w:vertAlign w:val="superscript"/>
        </w:rPr>
        <w:t xml:space="preserve"> </w:t>
      </w:r>
      <w:r w:rsidRPr="00673DE0">
        <w:rPr>
          <w:rFonts w:ascii="Arial" w:hAnsi="Arial" w:cs="Arial"/>
          <w:sz w:val="24"/>
          <w:szCs w:val="24"/>
        </w:rPr>
        <w:t xml:space="preserve">day of </w:t>
      </w:r>
      <w:r>
        <w:rPr>
          <w:rFonts w:ascii="Arial" w:hAnsi="Arial" w:cs="Arial"/>
          <w:sz w:val="24"/>
          <w:szCs w:val="24"/>
        </w:rPr>
        <w:t>August</w:t>
      </w:r>
      <w:r w:rsidRPr="00673DE0">
        <w:rPr>
          <w:rFonts w:ascii="Arial" w:hAnsi="Arial" w:cs="Arial"/>
          <w:sz w:val="24"/>
          <w:szCs w:val="24"/>
        </w:rPr>
        <w:t>, 2022.</w:t>
      </w:r>
    </w:p>
    <w:p w14:paraId="17561AF1" w14:textId="77777777" w:rsidR="00673DE0" w:rsidRPr="00673DE0" w:rsidRDefault="00673DE0" w:rsidP="00673DE0">
      <w:pPr>
        <w:autoSpaceDE w:val="0"/>
        <w:autoSpaceDN w:val="0"/>
        <w:adjustRightInd w:val="0"/>
        <w:spacing w:before="8" w:after="0" w:line="240" w:lineRule="auto"/>
        <w:ind w:left="4320" w:right="-20" w:firstLine="720"/>
        <w:jc w:val="both"/>
        <w:rPr>
          <w:rFonts w:ascii="Arial" w:hAnsi="Arial" w:cs="Arial"/>
          <w:b/>
          <w:sz w:val="24"/>
          <w:szCs w:val="24"/>
          <w:u w:val="single"/>
        </w:rPr>
      </w:pPr>
      <w:r w:rsidRPr="00673DE0">
        <w:rPr>
          <w:rFonts w:ascii="Arial" w:hAnsi="Arial" w:cs="Arial"/>
          <w:b/>
          <w:sz w:val="24"/>
          <w:szCs w:val="24"/>
          <w:u w:val="single"/>
        </w:rPr>
        <w:t>s/ Nicole Mers</w:t>
      </w:r>
    </w:p>
    <w:p w14:paraId="3816C4E6" w14:textId="77777777" w:rsidR="00673DE0" w:rsidRPr="005D1233" w:rsidRDefault="00673DE0" w:rsidP="00361ECE">
      <w:pPr>
        <w:jc w:val="center"/>
        <w:rPr>
          <w:rFonts w:ascii="Arial" w:hAnsi="Arial" w:cs="Arial"/>
        </w:rPr>
      </w:pPr>
    </w:p>
    <w:sectPr w:rsidR="00673DE0" w:rsidRPr="005D12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A91" w14:textId="77777777" w:rsidR="006B4CB9" w:rsidRDefault="006B4CB9" w:rsidP="002859D3">
      <w:pPr>
        <w:spacing w:after="0" w:line="240" w:lineRule="auto"/>
      </w:pPr>
      <w:r>
        <w:separator/>
      </w:r>
    </w:p>
  </w:endnote>
  <w:endnote w:type="continuationSeparator" w:id="0">
    <w:p w14:paraId="64DBFC3E" w14:textId="77777777" w:rsidR="006B4CB9" w:rsidRDefault="006B4CB9" w:rsidP="0028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08102"/>
      <w:docPartObj>
        <w:docPartGallery w:val="Page Numbers (Bottom of Page)"/>
        <w:docPartUnique/>
      </w:docPartObj>
    </w:sdtPr>
    <w:sdtEndPr>
      <w:rPr>
        <w:noProof/>
      </w:rPr>
    </w:sdtEndPr>
    <w:sdtContent>
      <w:p w14:paraId="1A9AB818" w14:textId="30648DDC" w:rsidR="00D36AEB" w:rsidRDefault="00D36AEB">
        <w:pPr>
          <w:pStyle w:val="Footer"/>
          <w:jc w:val="center"/>
        </w:pPr>
        <w:r>
          <w:fldChar w:fldCharType="begin"/>
        </w:r>
        <w:r>
          <w:instrText xml:space="preserve"> PAGE   \* MERGEFORMAT </w:instrText>
        </w:r>
        <w:r>
          <w:fldChar w:fldCharType="separate"/>
        </w:r>
        <w:r w:rsidR="00C12115">
          <w:rPr>
            <w:noProof/>
          </w:rPr>
          <w:t>1</w:t>
        </w:r>
        <w:r>
          <w:rPr>
            <w:noProof/>
          </w:rPr>
          <w:fldChar w:fldCharType="end"/>
        </w:r>
      </w:p>
    </w:sdtContent>
  </w:sdt>
  <w:p w14:paraId="3C95422B" w14:textId="77777777" w:rsidR="00D36AEB" w:rsidRDefault="00D3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E3AD3" w14:textId="77777777" w:rsidR="006B4CB9" w:rsidRDefault="006B4CB9" w:rsidP="002859D3">
      <w:pPr>
        <w:spacing w:after="0" w:line="240" w:lineRule="auto"/>
      </w:pPr>
      <w:r>
        <w:separator/>
      </w:r>
    </w:p>
  </w:footnote>
  <w:footnote w:type="continuationSeparator" w:id="0">
    <w:p w14:paraId="29EAABE5" w14:textId="77777777" w:rsidR="006B4CB9" w:rsidRDefault="006B4CB9" w:rsidP="00285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099"/>
    <w:multiLevelType w:val="hybridMultilevel"/>
    <w:tmpl w:val="9B00FA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323612"/>
    <w:multiLevelType w:val="hybridMultilevel"/>
    <w:tmpl w:val="1F403D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E50A00"/>
    <w:multiLevelType w:val="hybridMultilevel"/>
    <w:tmpl w:val="9F52A65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956"/>
    <w:multiLevelType w:val="hybridMultilevel"/>
    <w:tmpl w:val="F9BC5D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C315493"/>
    <w:multiLevelType w:val="hybridMultilevel"/>
    <w:tmpl w:val="AED83EB8"/>
    <w:lvl w:ilvl="0" w:tplc="A5880674">
      <w:start w:val="1"/>
      <w:numFmt w:val="lowerLetter"/>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E173A36"/>
    <w:multiLevelType w:val="hybridMultilevel"/>
    <w:tmpl w:val="615EC4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3768FE"/>
    <w:multiLevelType w:val="hybridMultilevel"/>
    <w:tmpl w:val="C908D6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F43D3"/>
    <w:multiLevelType w:val="hybridMultilevel"/>
    <w:tmpl w:val="9F52A65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E1838"/>
    <w:multiLevelType w:val="hybridMultilevel"/>
    <w:tmpl w:val="AA0625B0"/>
    <w:lvl w:ilvl="0" w:tplc="BCF8F706">
      <w:start w:val="15"/>
      <w:numFmt w:val="decimal"/>
      <w:lvlText w:val="%1."/>
      <w:lvlJc w:val="left"/>
      <w:pPr>
        <w:ind w:left="1740" w:hanging="720"/>
      </w:pPr>
      <w:rPr>
        <w:rFonts w:hint="default"/>
        <w:b/>
        <w:bCs/>
        <w:spacing w:val="-3"/>
        <w:w w:val="99"/>
        <w:sz w:val="28"/>
        <w:szCs w:val="28"/>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7AB4"/>
    <w:multiLevelType w:val="hybridMultilevel"/>
    <w:tmpl w:val="C908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F1ADF"/>
    <w:multiLevelType w:val="hybridMultilevel"/>
    <w:tmpl w:val="88EA1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054D3"/>
    <w:multiLevelType w:val="hybridMultilevel"/>
    <w:tmpl w:val="C97086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53E6571"/>
    <w:multiLevelType w:val="hybridMultilevel"/>
    <w:tmpl w:val="ED6E5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653C46"/>
    <w:multiLevelType w:val="hybridMultilevel"/>
    <w:tmpl w:val="F7BA5416"/>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E6024"/>
    <w:multiLevelType w:val="hybridMultilevel"/>
    <w:tmpl w:val="3A3A413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5" w15:restartNumberingAfterBreak="0">
    <w:nsid w:val="27FC38FF"/>
    <w:multiLevelType w:val="hybridMultilevel"/>
    <w:tmpl w:val="843C7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A524F5E"/>
    <w:multiLevelType w:val="hybridMultilevel"/>
    <w:tmpl w:val="09C4ED32"/>
    <w:lvl w:ilvl="0" w:tplc="3DD813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940754"/>
    <w:multiLevelType w:val="hybridMultilevel"/>
    <w:tmpl w:val="B00A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C42C2E"/>
    <w:multiLevelType w:val="hybridMultilevel"/>
    <w:tmpl w:val="FA38CD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3E7508A"/>
    <w:multiLevelType w:val="hybridMultilevel"/>
    <w:tmpl w:val="9F52A65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717E4"/>
    <w:multiLevelType w:val="hybridMultilevel"/>
    <w:tmpl w:val="82D83092"/>
    <w:lvl w:ilvl="0" w:tplc="FA622F42">
      <w:start w:val="1"/>
      <w:numFmt w:val="decimal"/>
      <w:lvlText w:val="%1."/>
      <w:lvlJc w:val="left"/>
      <w:pPr>
        <w:ind w:left="1020" w:hanging="721"/>
      </w:pPr>
      <w:rPr>
        <w:b/>
        <w:bCs/>
        <w:spacing w:val="-3"/>
        <w:w w:val="99"/>
        <w:sz w:val="28"/>
        <w:szCs w:val="28"/>
      </w:rPr>
    </w:lvl>
    <w:lvl w:ilvl="1" w:tplc="E0F26972">
      <w:start w:val="1"/>
      <w:numFmt w:val="upperLetter"/>
      <w:lvlText w:val="%2."/>
      <w:lvlJc w:val="left"/>
      <w:pPr>
        <w:ind w:left="1740" w:hanging="720"/>
      </w:pPr>
      <w:rPr>
        <w:rFonts w:ascii="Arial" w:eastAsia="Arial" w:hAnsi="Arial" w:cs="Arial" w:hint="default"/>
        <w:w w:val="104"/>
        <w:sz w:val="24"/>
        <w:szCs w:val="24"/>
      </w:rPr>
    </w:lvl>
    <w:lvl w:ilvl="2" w:tplc="DC0C6CBE">
      <w:numFmt w:val="bullet"/>
      <w:lvlText w:val="•"/>
      <w:lvlJc w:val="left"/>
      <w:pPr>
        <w:ind w:left="1740" w:hanging="720"/>
      </w:pPr>
    </w:lvl>
    <w:lvl w:ilvl="3" w:tplc="1EB8DC2A">
      <w:numFmt w:val="bullet"/>
      <w:lvlText w:val="•"/>
      <w:lvlJc w:val="left"/>
      <w:pPr>
        <w:ind w:left="2747" w:hanging="720"/>
      </w:pPr>
    </w:lvl>
    <w:lvl w:ilvl="4" w:tplc="C37867CE">
      <w:numFmt w:val="bullet"/>
      <w:lvlText w:val="•"/>
      <w:lvlJc w:val="left"/>
      <w:pPr>
        <w:ind w:left="3755" w:hanging="720"/>
      </w:pPr>
    </w:lvl>
    <w:lvl w:ilvl="5" w:tplc="E3E8D8B6">
      <w:numFmt w:val="bullet"/>
      <w:lvlText w:val="•"/>
      <w:lvlJc w:val="left"/>
      <w:pPr>
        <w:ind w:left="4762" w:hanging="720"/>
      </w:pPr>
    </w:lvl>
    <w:lvl w:ilvl="6" w:tplc="5A0ACC1E">
      <w:numFmt w:val="bullet"/>
      <w:lvlText w:val="•"/>
      <w:lvlJc w:val="left"/>
      <w:pPr>
        <w:ind w:left="5770" w:hanging="720"/>
      </w:pPr>
    </w:lvl>
    <w:lvl w:ilvl="7" w:tplc="1A7EBB68">
      <w:numFmt w:val="bullet"/>
      <w:lvlText w:val="•"/>
      <w:lvlJc w:val="left"/>
      <w:pPr>
        <w:ind w:left="6777" w:hanging="720"/>
      </w:pPr>
    </w:lvl>
    <w:lvl w:ilvl="8" w:tplc="3C32B1A2">
      <w:numFmt w:val="bullet"/>
      <w:lvlText w:val="•"/>
      <w:lvlJc w:val="left"/>
      <w:pPr>
        <w:ind w:left="7785" w:hanging="720"/>
      </w:pPr>
    </w:lvl>
  </w:abstractNum>
  <w:abstractNum w:abstractNumId="21" w15:restartNumberingAfterBreak="0">
    <w:nsid w:val="3B1F5E91"/>
    <w:multiLevelType w:val="hybridMultilevel"/>
    <w:tmpl w:val="5F744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C3175EA"/>
    <w:multiLevelType w:val="hybridMultilevel"/>
    <w:tmpl w:val="A2F2C798"/>
    <w:lvl w:ilvl="0" w:tplc="6E0AE90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E3B17"/>
    <w:multiLevelType w:val="hybridMultilevel"/>
    <w:tmpl w:val="54EEB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D78C3"/>
    <w:multiLevelType w:val="hybridMultilevel"/>
    <w:tmpl w:val="9F52A65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A1370"/>
    <w:multiLevelType w:val="hybridMultilevel"/>
    <w:tmpl w:val="F48AF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C7B71"/>
    <w:multiLevelType w:val="hybridMultilevel"/>
    <w:tmpl w:val="9F52A65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80392"/>
    <w:multiLevelType w:val="hybridMultilevel"/>
    <w:tmpl w:val="460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7235F"/>
    <w:multiLevelType w:val="hybridMultilevel"/>
    <w:tmpl w:val="3CEED470"/>
    <w:lvl w:ilvl="0" w:tplc="B7AA72B8">
      <w:start w:val="1"/>
      <w:numFmt w:val="decimal"/>
      <w:pStyle w:val="IssueLevel1"/>
      <w:lvlText w:val="%1."/>
      <w:lvlJc w:val="left"/>
      <w:pPr>
        <w:ind w:left="1440" w:hanging="360"/>
      </w:pPr>
    </w:lvl>
    <w:lvl w:ilvl="1" w:tplc="A588067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435377"/>
    <w:multiLevelType w:val="hybridMultilevel"/>
    <w:tmpl w:val="87BEEDCE"/>
    <w:lvl w:ilvl="0" w:tplc="04090001">
      <w:start w:val="1"/>
      <w:numFmt w:val="bullet"/>
      <w:lvlText w:val=""/>
      <w:lvlJc w:val="left"/>
      <w:pPr>
        <w:ind w:left="2945" w:hanging="360"/>
      </w:pPr>
      <w:rPr>
        <w:rFonts w:ascii="Symbol" w:hAnsi="Symbol"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30" w15:restartNumberingAfterBreak="0">
    <w:nsid w:val="66935622"/>
    <w:multiLevelType w:val="hybridMultilevel"/>
    <w:tmpl w:val="88DE13BC"/>
    <w:lvl w:ilvl="0" w:tplc="F3883C6C">
      <w:start w:val="1"/>
      <w:numFmt w:val="upperRoman"/>
      <w:lvlText w:val="%1."/>
      <w:lvlJc w:val="left"/>
      <w:pPr>
        <w:ind w:left="1080" w:hanging="720"/>
      </w:pPr>
      <w:rPr>
        <w:rFonts w:hint="default"/>
        <w:b/>
        <w:sz w:val="28"/>
        <w:szCs w:val="28"/>
      </w:rPr>
    </w:lvl>
    <w:lvl w:ilvl="1" w:tplc="2F460618">
      <w:start w:val="1"/>
      <w:numFmt w:val="lowerLetter"/>
      <w:lvlText w:val="%2."/>
      <w:lvlJc w:val="left"/>
      <w:pPr>
        <w:ind w:left="1440" w:hanging="360"/>
      </w:pPr>
      <w:rPr>
        <w:b/>
        <w:sz w:val="24"/>
        <w:szCs w:val="24"/>
      </w:rPr>
    </w:lvl>
    <w:lvl w:ilvl="2" w:tplc="7CD4512A">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40C74"/>
    <w:multiLevelType w:val="hybridMultilevel"/>
    <w:tmpl w:val="FD88EFA8"/>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A67FA"/>
    <w:multiLevelType w:val="hybridMultilevel"/>
    <w:tmpl w:val="74763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BB66AC7"/>
    <w:multiLevelType w:val="hybridMultilevel"/>
    <w:tmpl w:val="54107B3E"/>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E2C5C89"/>
    <w:multiLevelType w:val="hybridMultilevel"/>
    <w:tmpl w:val="843C5A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F026816"/>
    <w:multiLevelType w:val="hybridMultilevel"/>
    <w:tmpl w:val="D3C830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2917BA9"/>
    <w:multiLevelType w:val="hybridMultilevel"/>
    <w:tmpl w:val="91B0B36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7" w15:restartNumberingAfterBreak="0">
    <w:nsid w:val="74D5736A"/>
    <w:multiLevelType w:val="hybridMultilevel"/>
    <w:tmpl w:val="0FE04AA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E6B84"/>
    <w:multiLevelType w:val="hybridMultilevel"/>
    <w:tmpl w:val="AA620C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7D62981"/>
    <w:multiLevelType w:val="multilevel"/>
    <w:tmpl w:val="7494DFE6"/>
    <w:lvl w:ilvl="0">
      <w:start w:val="1"/>
      <w:numFmt w:val="upperRoman"/>
      <w:pStyle w:val="Heading1"/>
      <w:lvlText w:val="%1."/>
      <w:lvlJc w:val="left"/>
      <w:pPr>
        <w:ind w:left="0" w:firstLine="0"/>
      </w:pPr>
      <w:rPr>
        <w:rFonts w:ascii="Arial" w:hAnsi="Arial" w:cs="Arial" w:hint="default"/>
        <w:b/>
        <w:color w:val="000000" w:themeColor="text1"/>
        <w:sz w:val="28"/>
        <w:szCs w:val="28"/>
      </w:rPr>
    </w:lvl>
    <w:lvl w:ilvl="1">
      <w:start w:val="1"/>
      <w:numFmt w:val="upperLetter"/>
      <w:pStyle w:val="Heading2"/>
      <w:lvlText w:val="%2."/>
      <w:lvlJc w:val="left"/>
      <w:pPr>
        <w:ind w:left="720" w:firstLine="0"/>
      </w:pPr>
      <w:rPr>
        <w:rFonts w:hint="default"/>
        <w:b w:val="0"/>
      </w:rPr>
    </w:lvl>
    <w:lvl w:ilvl="2">
      <w:start w:val="1"/>
      <w:numFmt w:val="decimal"/>
      <w:pStyle w:val="Heading3"/>
      <w:lvlText w:val="%3."/>
      <w:lvlJc w:val="left"/>
      <w:pPr>
        <w:ind w:left="1440" w:firstLine="0"/>
      </w:pPr>
      <w:rPr>
        <w:rFonts w:hint="default"/>
        <w:b w:val="0"/>
      </w:rPr>
    </w:lvl>
    <w:lvl w:ilvl="3">
      <w:start w:val="1"/>
      <w:numFmt w:val="lowerLetter"/>
      <w:pStyle w:val="Heading4"/>
      <w:lvlText w:val="%4)"/>
      <w:lvlJc w:val="left"/>
      <w:pPr>
        <w:ind w:left="2160" w:firstLine="0"/>
      </w:pPr>
      <w:rPr>
        <w:rFonts w:hint="default"/>
        <w:b w:val="0"/>
        <w:i w:val="0"/>
        <w:sz w:val="24"/>
        <w:szCs w:val="24"/>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78FB0B47"/>
    <w:multiLevelType w:val="hybridMultilevel"/>
    <w:tmpl w:val="445874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AEB54AC"/>
    <w:multiLevelType w:val="hybridMultilevel"/>
    <w:tmpl w:val="9F52A650"/>
    <w:lvl w:ilvl="0" w:tplc="A588067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A0AC5"/>
    <w:multiLevelType w:val="hybridMultilevel"/>
    <w:tmpl w:val="A12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29"/>
  </w:num>
  <w:num w:numId="4">
    <w:abstractNumId w:val="18"/>
  </w:num>
  <w:num w:numId="5">
    <w:abstractNumId w:val="3"/>
  </w:num>
  <w:num w:numId="6">
    <w:abstractNumId w:val="1"/>
  </w:num>
  <w:num w:numId="7">
    <w:abstractNumId w:val="25"/>
  </w:num>
  <w:num w:numId="8">
    <w:abstractNumId w:val="32"/>
  </w:num>
  <w:num w:numId="9">
    <w:abstractNumId w:val="15"/>
  </w:num>
  <w:num w:numId="10">
    <w:abstractNumId w:val="11"/>
  </w:num>
  <w:num w:numId="11">
    <w:abstractNumId w:val="38"/>
  </w:num>
  <w:num w:numId="12">
    <w:abstractNumId w:val="22"/>
  </w:num>
  <w:num w:numId="13">
    <w:abstractNumId w:val="12"/>
  </w:num>
  <w:num w:numId="14">
    <w:abstractNumId w:val="14"/>
  </w:num>
  <w:num w:numId="15">
    <w:abstractNumId w:val="36"/>
  </w:num>
  <w:num w:numId="16">
    <w:abstractNumId w:val="34"/>
  </w:num>
  <w:num w:numId="17">
    <w:abstractNumId w:val="35"/>
  </w:num>
  <w:num w:numId="18">
    <w:abstractNumId w:val="0"/>
  </w:num>
  <w:num w:numId="19">
    <w:abstractNumId w:val="5"/>
  </w:num>
  <w:num w:numId="20">
    <w:abstractNumId w:val="40"/>
  </w:num>
  <w:num w:numId="21">
    <w:abstractNumId w:val="33"/>
  </w:num>
  <w:num w:numId="22">
    <w:abstractNumId w:val="2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1"/>
  </w:num>
  <w:num w:numId="26">
    <w:abstractNumId w:val="37"/>
  </w:num>
  <w:num w:numId="27">
    <w:abstractNumId w:val="4"/>
  </w:num>
  <w:num w:numId="28">
    <w:abstractNumId w:val="13"/>
  </w:num>
  <w:num w:numId="29">
    <w:abstractNumId w:val="31"/>
  </w:num>
  <w:num w:numId="30">
    <w:abstractNumId w:val="2"/>
  </w:num>
  <w:num w:numId="31">
    <w:abstractNumId w:val="41"/>
  </w:num>
  <w:num w:numId="32">
    <w:abstractNumId w:val="24"/>
  </w:num>
  <w:num w:numId="33">
    <w:abstractNumId w:val="19"/>
  </w:num>
  <w:num w:numId="34">
    <w:abstractNumId w:val="7"/>
  </w:num>
  <w:num w:numId="35">
    <w:abstractNumId w:val="26"/>
  </w:num>
  <w:num w:numId="36">
    <w:abstractNumId w:val="39"/>
    <w:lvlOverride w:ilvl="0">
      <w:startOverride w:val="1"/>
    </w:lvlOverride>
    <w:lvlOverride w:ilvl="1">
      <w:startOverride w:val="1"/>
    </w:lvlOverride>
  </w:num>
  <w:num w:numId="37">
    <w:abstractNumId w:val="4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8"/>
  </w:num>
  <w:num w:numId="43">
    <w:abstractNumId w:val="6"/>
  </w:num>
  <w:num w:numId="44">
    <w:abstractNumId w:val="9"/>
  </w:num>
  <w:num w:numId="45">
    <w:abstractNumId w:val="23"/>
  </w:num>
  <w:num w:numId="46">
    <w:abstractNumId w:val="39"/>
  </w:num>
  <w:num w:numId="47">
    <w:abstractNumId w:val="3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D3"/>
    <w:rsid w:val="0002047B"/>
    <w:rsid w:val="00023861"/>
    <w:rsid w:val="00074AD0"/>
    <w:rsid w:val="000D6365"/>
    <w:rsid w:val="000E351F"/>
    <w:rsid w:val="00124C67"/>
    <w:rsid w:val="00126368"/>
    <w:rsid w:val="00152D5A"/>
    <w:rsid w:val="00155F55"/>
    <w:rsid w:val="001621B8"/>
    <w:rsid w:val="00184892"/>
    <w:rsid w:val="001C2F2F"/>
    <w:rsid w:val="001C6BAE"/>
    <w:rsid w:val="001D70CF"/>
    <w:rsid w:val="0020114A"/>
    <w:rsid w:val="0020537A"/>
    <w:rsid w:val="002105DE"/>
    <w:rsid w:val="00230278"/>
    <w:rsid w:val="00271EDB"/>
    <w:rsid w:val="002770E6"/>
    <w:rsid w:val="002859D3"/>
    <w:rsid w:val="002B0E2B"/>
    <w:rsid w:val="002C0295"/>
    <w:rsid w:val="002E2F70"/>
    <w:rsid w:val="002E5C5D"/>
    <w:rsid w:val="003127CB"/>
    <w:rsid w:val="003327C2"/>
    <w:rsid w:val="00346581"/>
    <w:rsid w:val="00357059"/>
    <w:rsid w:val="00361ECE"/>
    <w:rsid w:val="00385A78"/>
    <w:rsid w:val="00387C50"/>
    <w:rsid w:val="00401673"/>
    <w:rsid w:val="00451C6A"/>
    <w:rsid w:val="004A61EE"/>
    <w:rsid w:val="004C2324"/>
    <w:rsid w:val="004E306D"/>
    <w:rsid w:val="005741EC"/>
    <w:rsid w:val="005B06F5"/>
    <w:rsid w:val="005C4A54"/>
    <w:rsid w:val="005D1233"/>
    <w:rsid w:val="005E627E"/>
    <w:rsid w:val="005F54CA"/>
    <w:rsid w:val="006276D3"/>
    <w:rsid w:val="0063638D"/>
    <w:rsid w:val="006669CE"/>
    <w:rsid w:val="00673DE0"/>
    <w:rsid w:val="0068591A"/>
    <w:rsid w:val="006B4CB9"/>
    <w:rsid w:val="006C6101"/>
    <w:rsid w:val="006C6620"/>
    <w:rsid w:val="006E5EE8"/>
    <w:rsid w:val="0070317B"/>
    <w:rsid w:val="00741ACB"/>
    <w:rsid w:val="007703AC"/>
    <w:rsid w:val="008E16B7"/>
    <w:rsid w:val="009264F3"/>
    <w:rsid w:val="009475FD"/>
    <w:rsid w:val="00973C30"/>
    <w:rsid w:val="00A32C62"/>
    <w:rsid w:val="00A3796E"/>
    <w:rsid w:val="00A718D3"/>
    <w:rsid w:val="00A96008"/>
    <w:rsid w:val="00AB26D0"/>
    <w:rsid w:val="00AB4F42"/>
    <w:rsid w:val="00AC4DE4"/>
    <w:rsid w:val="00AD63CC"/>
    <w:rsid w:val="00AE2024"/>
    <w:rsid w:val="00B31BD3"/>
    <w:rsid w:val="00B90877"/>
    <w:rsid w:val="00BD0D40"/>
    <w:rsid w:val="00BD7ED5"/>
    <w:rsid w:val="00BF2C4D"/>
    <w:rsid w:val="00C12115"/>
    <w:rsid w:val="00C26E67"/>
    <w:rsid w:val="00C30EB8"/>
    <w:rsid w:val="00C6060A"/>
    <w:rsid w:val="00D033DC"/>
    <w:rsid w:val="00D221FD"/>
    <w:rsid w:val="00D36AEB"/>
    <w:rsid w:val="00D450CA"/>
    <w:rsid w:val="00D56DAD"/>
    <w:rsid w:val="00D77FF1"/>
    <w:rsid w:val="00D914F0"/>
    <w:rsid w:val="00F03DA1"/>
    <w:rsid w:val="00F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377D1E"/>
  <w15:docId w15:val="{15B46C6D-095E-43A0-838E-C4F2088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91A"/>
    <w:pPr>
      <w:keepNext/>
      <w:keepLines/>
      <w:widowControl w:val="0"/>
      <w:numPr>
        <w:numId w:val="2"/>
      </w:numPr>
      <w:kinsoku w:val="0"/>
      <w:spacing w:after="0" w:line="240" w:lineRule="auto"/>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2E5C5D"/>
    <w:pPr>
      <w:keepNext/>
      <w:keepLines/>
      <w:widowControl w:val="0"/>
      <w:numPr>
        <w:ilvl w:val="1"/>
        <w:numId w:val="2"/>
      </w:numPr>
      <w:kinsoku w:val="0"/>
      <w:spacing w:after="0" w:line="240" w:lineRule="auto"/>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unhideWhenUsed/>
    <w:qFormat/>
    <w:rsid w:val="0068591A"/>
    <w:pPr>
      <w:keepNext/>
      <w:keepLines/>
      <w:widowControl w:val="0"/>
      <w:numPr>
        <w:ilvl w:val="2"/>
        <w:numId w:val="2"/>
      </w:numPr>
      <w:kinsoku w:val="0"/>
      <w:spacing w:after="0" w:line="240" w:lineRule="auto"/>
      <w:outlineLvl w:val="2"/>
    </w:pPr>
    <w:rPr>
      <w:rFonts w:ascii="Arial" w:eastAsiaTheme="majorEastAsia" w:hAnsi="Arial" w:cstheme="majorBidi"/>
      <w:bCs/>
      <w:sz w:val="24"/>
      <w:szCs w:val="24"/>
    </w:rPr>
  </w:style>
  <w:style w:type="paragraph" w:styleId="Heading4">
    <w:name w:val="heading 4"/>
    <w:basedOn w:val="Normal"/>
    <w:next w:val="Normal"/>
    <w:link w:val="Heading4Char"/>
    <w:uiPriority w:val="9"/>
    <w:unhideWhenUsed/>
    <w:qFormat/>
    <w:rsid w:val="006669CE"/>
    <w:pPr>
      <w:keepNext/>
      <w:keepLines/>
      <w:widowControl w:val="0"/>
      <w:numPr>
        <w:ilvl w:val="3"/>
        <w:numId w:val="2"/>
      </w:numPr>
      <w:kinsoku w:val="0"/>
      <w:spacing w:before="200" w:after="0" w:line="240" w:lineRule="auto"/>
      <w:outlineLvl w:val="3"/>
    </w:pPr>
    <w:rPr>
      <w:rFonts w:ascii="Arial" w:eastAsiaTheme="majorEastAsia" w:hAnsi="Arial" w:cstheme="majorBidi"/>
      <w:bCs/>
      <w:iCs/>
      <w:sz w:val="24"/>
      <w:szCs w:val="24"/>
    </w:rPr>
  </w:style>
  <w:style w:type="paragraph" w:styleId="Heading5">
    <w:name w:val="heading 5"/>
    <w:basedOn w:val="Normal"/>
    <w:next w:val="Normal"/>
    <w:link w:val="Heading5Char"/>
    <w:uiPriority w:val="9"/>
    <w:semiHidden/>
    <w:unhideWhenUsed/>
    <w:qFormat/>
    <w:rsid w:val="005D1233"/>
    <w:pPr>
      <w:keepNext/>
      <w:keepLines/>
      <w:widowControl w:val="0"/>
      <w:numPr>
        <w:ilvl w:val="4"/>
        <w:numId w:val="2"/>
      </w:numPr>
      <w:kinsoku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5D1233"/>
    <w:pPr>
      <w:keepNext/>
      <w:keepLines/>
      <w:widowControl w:val="0"/>
      <w:numPr>
        <w:ilvl w:val="5"/>
        <w:numId w:val="2"/>
      </w:numPr>
      <w:kinsoku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5D1233"/>
    <w:pPr>
      <w:keepNext/>
      <w:keepLines/>
      <w:widowControl w:val="0"/>
      <w:numPr>
        <w:ilvl w:val="6"/>
        <w:numId w:val="2"/>
      </w:numPr>
      <w:kinsoku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5D1233"/>
    <w:pPr>
      <w:keepNext/>
      <w:keepLines/>
      <w:widowControl w:val="0"/>
      <w:numPr>
        <w:ilvl w:val="7"/>
        <w:numId w:val="2"/>
      </w:numPr>
      <w:kinsoku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1233"/>
    <w:pPr>
      <w:keepNext/>
      <w:keepLines/>
      <w:widowControl w:val="0"/>
      <w:numPr>
        <w:ilvl w:val="8"/>
        <w:numId w:val="2"/>
      </w:numPr>
      <w:kinsoku w:val="0"/>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59D3"/>
    <w:pPr>
      <w:widowControl w:val="0"/>
      <w:kinsoku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859D3"/>
    <w:rPr>
      <w:rFonts w:ascii="Times New Roman" w:eastAsia="Times New Roman" w:hAnsi="Times New Roman" w:cs="Times New Roman"/>
      <w:sz w:val="20"/>
      <w:szCs w:val="20"/>
    </w:rPr>
  </w:style>
  <w:style w:type="character" w:styleId="FootnoteReference">
    <w:name w:val="footnote reference"/>
    <w:uiPriority w:val="99"/>
    <w:semiHidden/>
    <w:rsid w:val="002859D3"/>
    <w:rPr>
      <w:rFonts w:cs="Times New Roman"/>
      <w:vertAlign w:val="superscript"/>
    </w:rPr>
  </w:style>
  <w:style w:type="paragraph" w:styleId="ListParagraph">
    <w:name w:val="List Paragraph"/>
    <w:basedOn w:val="Normal"/>
    <w:uiPriority w:val="34"/>
    <w:qFormat/>
    <w:rsid w:val="002859D3"/>
    <w:pPr>
      <w:ind w:left="720"/>
      <w:contextualSpacing/>
    </w:pPr>
  </w:style>
  <w:style w:type="character" w:styleId="CommentReference">
    <w:name w:val="annotation reference"/>
    <w:basedOn w:val="DefaultParagraphFont"/>
    <w:uiPriority w:val="99"/>
    <w:unhideWhenUsed/>
    <w:rsid w:val="00BD7ED5"/>
    <w:rPr>
      <w:sz w:val="16"/>
      <w:szCs w:val="16"/>
    </w:rPr>
  </w:style>
  <w:style w:type="paragraph" w:styleId="CommentText">
    <w:name w:val="annotation text"/>
    <w:basedOn w:val="Normal"/>
    <w:link w:val="CommentTextChar"/>
    <w:uiPriority w:val="99"/>
    <w:unhideWhenUsed/>
    <w:rsid w:val="00BD7ED5"/>
    <w:pPr>
      <w:spacing w:line="240" w:lineRule="auto"/>
    </w:pPr>
    <w:rPr>
      <w:sz w:val="20"/>
      <w:szCs w:val="20"/>
    </w:rPr>
  </w:style>
  <w:style w:type="character" w:customStyle="1" w:styleId="CommentTextChar">
    <w:name w:val="Comment Text Char"/>
    <w:basedOn w:val="DefaultParagraphFont"/>
    <w:link w:val="CommentText"/>
    <w:uiPriority w:val="99"/>
    <w:rsid w:val="00BD7ED5"/>
    <w:rPr>
      <w:sz w:val="20"/>
      <w:szCs w:val="20"/>
    </w:rPr>
  </w:style>
  <w:style w:type="paragraph" w:styleId="CommentSubject">
    <w:name w:val="annotation subject"/>
    <w:basedOn w:val="CommentText"/>
    <w:next w:val="CommentText"/>
    <w:link w:val="CommentSubjectChar"/>
    <w:uiPriority w:val="99"/>
    <w:semiHidden/>
    <w:unhideWhenUsed/>
    <w:rsid w:val="00BD7ED5"/>
    <w:rPr>
      <w:b/>
      <w:bCs/>
    </w:rPr>
  </w:style>
  <w:style w:type="character" w:customStyle="1" w:styleId="CommentSubjectChar">
    <w:name w:val="Comment Subject Char"/>
    <w:basedOn w:val="CommentTextChar"/>
    <w:link w:val="CommentSubject"/>
    <w:uiPriority w:val="99"/>
    <w:semiHidden/>
    <w:rsid w:val="00BD7ED5"/>
    <w:rPr>
      <w:b/>
      <w:bCs/>
      <w:sz w:val="20"/>
      <w:szCs w:val="20"/>
    </w:rPr>
  </w:style>
  <w:style w:type="paragraph" w:styleId="BalloonText">
    <w:name w:val="Balloon Text"/>
    <w:basedOn w:val="Normal"/>
    <w:link w:val="BalloonTextChar"/>
    <w:uiPriority w:val="99"/>
    <w:semiHidden/>
    <w:unhideWhenUsed/>
    <w:rsid w:val="00BD7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ED5"/>
    <w:rPr>
      <w:rFonts w:ascii="Tahoma" w:hAnsi="Tahoma" w:cs="Tahoma"/>
      <w:sz w:val="16"/>
      <w:szCs w:val="16"/>
    </w:rPr>
  </w:style>
  <w:style w:type="character" w:customStyle="1" w:styleId="Heading1Char">
    <w:name w:val="Heading 1 Char"/>
    <w:basedOn w:val="DefaultParagraphFont"/>
    <w:link w:val="Heading1"/>
    <w:uiPriority w:val="9"/>
    <w:rsid w:val="0068591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E5C5D"/>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68591A"/>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6669CE"/>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semiHidden/>
    <w:rsid w:val="005D123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D123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5D123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D12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123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D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33"/>
  </w:style>
  <w:style w:type="paragraph" w:styleId="Footer">
    <w:name w:val="footer"/>
    <w:basedOn w:val="Normal"/>
    <w:link w:val="FooterChar"/>
    <w:uiPriority w:val="99"/>
    <w:unhideWhenUsed/>
    <w:rsid w:val="005D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33"/>
  </w:style>
  <w:style w:type="character" w:styleId="Hyperlink">
    <w:name w:val="Hyperlink"/>
    <w:rsid w:val="00361ECE"/>
    <w:rPr>
      <w:rFonts w:cs="Times New Roman"/>
      <w:color w:val="0000FF"/>
    </w:rPr>
  </w:style>
  <w:style w:type="character" w:customStyle="1" w:styleId="fontstyle01">
    <w:name w:val="fontstyle01"/>
    <w:basedOn w:val="DefaultParagraphFont"/>
    <w:rsid w:val="00361ECE"/>
    <w:rPr>
      <w:rFonts w:ascii="TimesNewRoman" w:hAnsi="TimesNewRoman" w:hint="default"/>
      <w:b w:val="0"/>
      <w:bCs w:val="0"/>
      <w:i w:val="0"/>
      <w:iCs w:val="0"/>
      <w:color w:val="000000"/>
      <w:sz w:val="24"/>
      <w:szCs w:val="24"/>
    </w:rPr>
  </w:style>
  <w:style w:type="paragraph" w:customStyle="1" w:styleId="IssueLevel1">
    <w:name w:val="Issue Level 1"/>
    <w:basedOn w:val="ListParagraph"/>
    <w:link w:val="IssueLevel1Char"/>
    <w:qFormat/>
    <w:rsid w:val="0070317B"/>
    <w:pPr>
      <w:numPr>
        <w:numId w:val="24"/>
      </w:numPr>
      <w:tabs>
        <w:tab w:val="left" w:pos="720"/>
      </w:tabs>
      <w:spacing w:after="0" w:line="480" w:lineRule="auto"/>
      <w:ind w:left="0" w:firstLine="0"/>
      <w:jc w:val="both"/>
    </w:pPr>
    <w:rPr>
      <w:rFonts w:ascii="Arial" w:eastAsia="Times New Roman" w:hAnsi="Arial" w:cs="Arial"/>
      <w:b/>
      <w:sz w:val="24"/>
      <w:szCs w:val="24"/>
    </w:rPr>
  </w:style>
  <w:style w:type="character" w:customStyle="1" w:styleId="IssueLevel1Char">
    <w:name w:val="Issue Level 1 Char"/>
    <w:basedOn w:val="DefaultParagraphFont"/>
    <w:link w:val="IssueLevel1"/>
    <w:rsid w:val="0070317B"/>
    <w:rPr>
      <w:rFonts w:ascii="Arial" w:eastAsia="Times New Roman" w:hAnsi="Arial" w:cs="Arial"/>
      <w:b/>
      <w:sz w:val="24"/>
      <w:szCs w:val="24"/>
    </w:rPr>
  </w:style>
  <w:style w:type="paragraph" w:styleId="Revision">
    <w:name w:val="Revision"/>
    <w:hidden/>
    <w:uiPriority w:val="99"/>
    <w:semiHidden/>
    <w:rsid w:val="00AD6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6758">
      <w:bodyDiv w:val="1"/>
      <w:marLeft w:val="0"/>
      <w:marRight w:val="0"/>
      <w:marTop w:val="0"/>
      <w:marBottom w:val="0"/>
      <w:divBdr>
        <w:top w:val="none" w:sz="0" w:space="0" w:color="auto"/>
        <w:left w:val="none" w:sz="0" w:space="0" w:color="auto"/>
        <w:bottom w:val="none" w:sz="0" w:space="0" w:color="auto"/>
        <w:right w:val="none" w:sz="0" w:space="0" w:color="auto"/>
      </w:divBdr>
    </w:div>
    <w:div w:id="493224296">
      <w:bodyDiv w:val="1"/>
      <w:marLeft w:val="0"/>
      <w:marRight w:val="0"/>
      <w:marTop w:val="0"/>
      <w:marBottom w:val="0"/>
      <w:divBdr>
        <w:top w:val="none" w:sz="0" w:space="0" w:color="auto"/>
        <w:left w:val="none" w:sz="0" w:space="0" w:color="auto"/>
        <w:bottom w:val="none" w:sz="0" w:space="0" w:color="auto"/>
        <w:right w:val="none" w:sz="0" w:space="0" w:color="auto"/>
      </w:divBdr>
    </w:div>
    <w:div w:id="663513320">
      <w:bodyDiv w:val="1"/>
      <w:marLeft w:val="0"/>
      <w:marRight w:val="0"/>
      <w:marTop w:val="0"/>
      <w:marBottom w:val="0"/>
      <w:divBdr>
        <w:top w:val="none" w:sz="0" w:space="0" w:color="auto"/>
        <w:left w:val="none" w:sz="0" w:space="0" w:color="auto"/>
        <w:bottom w:val="none" w:sz="0" w:space="0" w:color="auto"/>
        <w:right w:val="none" w:sz="0" w:space="0" w:color="auto"/>
      </w:divBdr>
    </w:div>
    <w:div w:id="766072750">
      <w:bodyDiv w:val="1"/>
      <w:marLeft w:val="0"/>
      <w:marRight w:val="0"/>
      <w:marTop w:val="0"/>
      <w:marBottom w:val="0"/>
      <w:divBdr>
        <w:top w:val="none" w:sz="0" w:space="0" w:color="auto"/>
        <w:left w:val="none" w:sz="0" w:space="0" w:color="auto"/>
        <w:bottom w:val="none" w:sz="0" w:space="0" w:color="auto"/>
        <w:right w:val="none" w:sz="0" w:space="0" w:color="auto"/>
      </w:divBdr>
    </w:div>
    <w:div w:id="872304060">
      <w:bodyDiv w:val="1"/>
      <w:marLeft w:val="0"/>
      <w:marRight w:val="0"/>
      <w:marTop w:val="0"/>
      <w:marBottom w:val="0"/>
      <w:divBdr>
        <w:top w:val="none" w:sz="0" w:space="0" w:color="auto"/>
        <w:left w:val="none" w:sz="0" w:space="0" w:color="auto"/>
        <w:bottom w:val="none" w:sz="0" w:space="0" w:color="auto"/>
        <w:right w:val="none" w:sz="0" w:space="0" w:color="auto"/>
      </w:divBdr>
    </w:div>
    <w:div w:id="940645196">
      <w:bodyDiv w:val="1"/>
      <w:marLeft w:val="0"/>
      <w:marRight w:val="0"/>
      <w:marTop w:val="0"/>
      <w:marBottom w:val="0"/>
      <w:divBdr>
        <w:top w:val="none" w:sz="0" w:space="0" w:color="auto"/>
        <w:left w:val="none" w:sz="0" w:space="0" w:color="auto"/>
        <w:bottom w:val="none" w:sz="0" w:space="0" w:color="auto"/>
        <w:right w:val="none" w:sz="0" w:space="0" w:color="auto"/>
      </w:divBdr>
    </w:div>
    <w:div w:id="947393499">
      <w:bodyDiv w:val="1"/>
      <w:marLeft w:val="0"/>
      <w:marRight w:val="0"/>
      <w:marTop w:val="0"/>
      <w:marBottom w:val="0"/>
      <w:divBdr>
        <w:top w:val="none" w:sz="0" w:space="0" w:color="auto"/>
        <w:left w:val="none" w:sz="0" w:space="0" w:color="auto"/>
        <w:bottom w:val="none" w:sz="0" w:space="0" w:color="auto"/>
        <w:right w:val="none" w:sz="0" w:space="0" w:color="auto"/>
      </w:divBdr>
    </w:div>
    <w:div w:id="988360814">
      <w:bodyDiv w:val="1"/>
      <w:marLeft w:val="0"/>
      <w:marRight w:val="0"/>
      <w:marTop w:val="0"/>
      <w:marBottom w:val="0"/>
      <w:divBdr>
        <w:top w:val="none" w:sz="0" w:space="0" w:color="auto"/>
        <w:left w:val="none" w:sz="0" w:space="0" w:color="auto"/>
        <w:bottom w:val="none" w:sz="0" w:space="0" w:color="auto"/>
        <w:right w:val="none" w:sz="0" w:space="0" w:color="auto"/>
      </w:divBdr>
    </w:div>
    <w:div w:id="1108039018">
      <w:bodyDiv w:val="1"/>
      <w:marLeft w:val="0"/>
      <w:marRight w:val="0"/>
      <w:marTop w:val="0"/>
      <w:marBottom w:val="0"/>
      <w:divBdr>
        <w:top w:val="none" w:sz="0" w:space="0" w:color="auto"/>
        <w:left w:val="none" w:sz="0" w:space="0" w:color="auto"/>
        <w:bottom w:val="none" w:sz="0" w:space="0" w:color="auto"/>
        <w:right w:val="none" w:sz="0" w:space="0" w:color="auto"/>
      </w:divBdr>
    </w:div>
    <w:div w:id="1152675044">
      <w:bodyDiv w:val="1"/>
      <w:marLeft w:val="0"/>
      <w:marRight w:val="0"/>
      <w:marTop w:val="0"/>
      <w:marBottom w:val="0"/>
      <w:divBdr>
        <w:top w:val="none" w:sz="0" w:space="0" w:color="auto"/>
        <w:left w:val="none" w:sz="0" w:space="0" w:color="auto"/>
        <w:bottom w:val="none" w:sz="0" w:space="0" w:color="auto"/>
        <w:right w:val="none" w:sz="0" w:space="0" w:color="auto"/>
      </w:divBdr>
    </w:div>
    <w:div w:id="1174419188">
      <w:bodyDiv w:val="1"/>
      <w:marLeft w:val="0"/>
      <w:marRight w:val="0"/>
      <w:marTop w:val="0"/>
      <w:marBottom w:val="0"/>
      <w:divBdr>
        <w:top w:val="none" w:sz="0" w:space="0" w:color="auto"/>
        <w:left w:val="none" w:sz="0" w:space="0" w:color="auto"/>
        <w:bottom w:val="none" w:sz="0" w:space="0" w:color="auto"/>
        <w:right w:val="none" w:sz="0" w:space="0" w:color="auto"/>
      </w:divBdr>
    </w:div>
    <w:div w:id="1368723128">
      <w:bodyDiv w:val="1"/>
      <w:marLeft w:val="0"/>
      <w:marRight w:val="0"/>
      <w:marTop w:val="0"/>
      <w:marBottom w:val="0"/>
      <w:divBdr>
        <w:top w:val="none" w:sz="0" w:space="0" w:color="auto"/>
        <w:left w:val="none" w:sz="0" w:space="0" w:color="auto"/>
        <w:bottom w:val="none" w:sz="0" w:space="0" w:color="auto"/>
        <w:right w:val="none" w:sz="0" w:space="0" w:color="auto"/>
      </w:divBdr>
    </w:div>
    <w:div w:id="1393237452">
      <w:bodyDiv w:val="1"/>
      <w:marLeft w:val="0"/>
      <w:marRight w:val="0"/>
      <w:marTop w:val="0"/>
      <w:marBottom w:val="0"/>
      <w:divBdr>
        <w:top w:val="none" w:sz="0" w:space="0" w:color="auto"/>
        <w:left w:val="none" w:sz="0" w:space="0" w:color="auto"/>
        <w:bottom w:val="none" w:sz="0" w:space="0" w:color="auto"/>
        <w:right w:val="none" w:sz="0" w:space="0" w:color="auto"/>
      </w:divBdr>
    </w:div>
    <w:div w:id="1437795508">
      <w:bodyDiv w:val="1"/>
      <w:marLeft w:val="0"/>
      <w:marRight w:val="0"/>
      <w:marTop w:val="0"/>
      <w:marBottom w:val="0"/>
      <w:divBdr>
        <w:top w:val="none" w:sz="0" w:space="0" w:color="auto"/>
        <w:left w:val="none" w:sz="0" w:space="0" w:color="auto"/>
        <w:bottom w:val="none" w:sz="0" w:space="0" w:color="auto"/>
        <w:right w:val="none" w:sz="0" w:space="0" w:color="auto"/>
      </w:divBdr>
    </w:div>
    <w:div w:id="1459449471">
      <w:bodyDiv w:val="1"/>
      <w:marLeft w:val="0"/>
      <w:marRight w:val="0"/>
      <w:marTop w:val="0"/>
      <w:marBottom w:val="0"/>
      <w:divBdr>
        <w:top w:val="none" w:sz="0" w:space="0" w:color="auto"/>
        <w:left w:val="none" w:sz="0" w:space="0" w:color="auto"/>
        <w:bottom w:val="none" w:sz="0" w:space="0" w:color="auto"/>
        <w:right w:val="none" w:sz="0" w:space="0" w:color="auto"/>
      </w:divBdr>
    </w:div>
    <w:div w:id="1468082706">
      <w:bodyDiv w:val="1"/>
      <w:marLeft w:val="0"/>
      <w:marRight w:val="0"/>
      <w:marTop w:val="0"/>
      <w:marBottom w:val="0"/>
      <w:divBdr>
        <w:top w:val="none" w:sz="0" w:space="0" w:color="auto"/>
        <w:left w:val="none" w:sz="0" w:space="0" w:color="auto"/>
        <w:bottom w:val="none" w:sz="0" w:space="0" w:color="auto"/>
        <w:right w:val="none" w:sz="0" w:space="0" w:color="auto"/>
      </w:divBdr>
    </w:div>
    <w:div w:id="1490364526">
      <w:bodyDiv w:val="1"/>
      <w:marLeft w:val="0"/>
      <w:marRight w:val="0"/>
      <w:marTop w:val="0"/>
      <w:marBottom w:val="0"/>
      <w:divBdr>
        <w:top w:val="none" w:sz="0" w:space="0" w:color="auto"/>
        <w:left w:val="none" w:sz="0" w:space="0" w:color="auto"/>
        <w:bottom w:val="none" w:sz="0" w:space="0" w:color="auto"/>
        <w:right w:val="none" w:sz="0" w:space="0" w:color="auto"/>
      </w:divBdr>
    </w:div>
    <w:div w:id="1685865335">
      <w:bodyDiv w:val="1"/>
      <w:marLeft w:val="0"/>
      <w:marRight w:val="0"/>
      <w:marTop w:val="0"/>
      <w:marBottom w:val="0"/>
      <w:divBdr>
        <w:top w:val="none" w:sz="0" w:space="0" w:color="auto"/>
        <w:left w:val="none" w:sz="0" w:space="0" w:color="auto"/>
        <w:bottom w:val="none" w:sz="0" w:space="0" w:color="auto"/>
        <w:right w:val="none" w:sz="0" w:space="0" w:color="auto"/>
      </w:divBdr>
    </w:div>
    <w:div w:id="1704597237">
      <w:bodyDiv w:val="1"/>
      <w:marLeft w:val="0"/>
      <w:marRight w:val="0"/>
      <w:marTop w:val="0"/>
      <w:marBottom w:val="0"/>
      <w:divBdr>
        <w:top w:val="none" w:sz="0" w:space="0" w:color="auto"/>
        <w:left w:val="none" w:sz="0" w:space="0" w:color="auto"/>
        <w:bottom w:val="none" w:sz="0" w:space="0" w:color="auto"/>
        <w:right w:val="none" w:sz="0" w:space="0" w:color="auto"/>
      </w:divBdr>
    </w:div>
    <w:div w:id="1850176059">
      <w:bodyDiv w:val="1"/>
      <w:marLeft w:val="0"/>
      <w:marRight w:val="0"/>
      <w:marTop w:val="0"/>
      <w:marBottom w:val="0"/>
      <w:divBdr>
        <w:top w:val="none" w:sz="0" w:space="0" w:color="auto"/>
        <w:left w:val="none" w:sz="0" w:space="0" w:color="auto"/>
        <w:bottom w:val="none" w:sz="0" w:space="0" w:color="auto"/>
        <w:right w:val="none" w:sz="0" w:space="0" w:color="auto"/>
      </w:divBdr>
    </w:div>
    <w:div w:id="1892109065">
      <w:bodyDiv w:val="1"/>
      <w:marLeft w:val="0"/>
      <w:marRight w:val="0"/>
      <w:marTop w:val="0"/>
      <w:marBottom w:val="0"/>
      <w:divBdr>
        <w:top w:val="none" w:sz="0" w:space="0" w:color="auto"/>
        <w:left w:val="none" w:sz="0" w:space="0" w:color="auto"/>
        <w:bottom w:val="none" w:sz="0" w:space="0" w:color="auto"/>
        <w:right w:val="none" w:sz="0" w:space="0" w:color="auto"/>
      </w:divBdr>
    </w:div>
    <w:div w:id="1994023700">
      <w:bodyDiv w:val="1"/>
      <w:marLeft w:val="0"/>
      <w:marRight w:val="0"/>
      <w:marTop w:val="0"/>
      <w:marBottom w:val="0"/>
      <w:divBdr>
        <w:top w:val="none" w:sz="0" w:space="0" w:color="auto"/>
        <w:left w:val="none" w:sz="0" w:space="0" w:color="auto"/>
        <w:bottom w:val="none" w:sz="0" w:space="0" w:color="auto"/>
        <w:right w:val="none" w:sz="0" w:space="0" w:color="auto"/>
      </w:divBdr>
    </w:div>
    <w:div w:id="2084714694">
      <w:bodyDiv w:val="1"/>
      <w:marLeft w:val="0"/>
      <w:marRight w:val="0"/>
      <w:marTop w:val="0"/>
      <w:marBottom w:val="0"/>
      <w:divBdr>
        <w:top w:val="none" w:sz="0" w:space="0" w:color="auto"/>
        <w:left w:val="none" w:sz="0" w:space="0" w:color="auto"/>
        <w:bottom w:val="none" w:sz="0" w:space="0" w:color="auto"/>
        <w:right w:val="none" w:sz="0" w:space="0" w:color="auto"/>
      </w:divBdr>
    </w:div>
    <w:div w:id="20972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mers@psc.m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8346-2CCC-47A9-88E9-843190E0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dc:creator>
  <cp:keywords/>
  <dc:description/>
  <cp:lastModifiedBy>Mers, Nicole</cp:lastModifiedBy>
  <cp:revision>2</cp:revision>
  <dcterms:created xsi:type="dcterms:W3CDTF">2022-08-19T03:53:00Z</dcterms:created>
  <dcterms:modified xsi:type="dcterms:W3CDTF">2022-08-19T03:53:00Z</dcterms:modified>
</cp:coreProperties>
</file>