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C9" w:rsidRPr="00843EC9" w:rsidRDefault="00843EC9" w:rsidP="00843EC9">
      <w:pPr>
        <w:jc w:val="center"/>
        <w:rPr>
          <w:b/>
        </w:rPr>
      </w:pPr>
      <w:r w:rsidRPr="00641A51">
        <w:rPr>
          <w:b/>
        </w:rPr>
        <w:t>BEFORE THE PUBLIC SERVICE COMMISSION</w:t>
      </w:r>
      <w:r>
        <w:rPr>
          <w:b/>
        </w:rPr>
        <w:t xml:space="preserve"> </w:t>
      </w:r>
      <w:r w:rsidRPr="00843EC9">
        <w:rPr>
          <w:b/>
        </w:rPr>
        <w:t>OF THE STATE OF MISSOURI</w:t>
      </w:r>
    </w:p>
    <w:p w:rsidR="00843EC9" w:rsidRDefault="00843EC9" w:rsidP="00843EC9"/>
    <w:p w:rsidR="00843EC9" w:rsidRDefault="00843EC9" w:rsidP="00843EC9"/>
    <w:p w:rsidR="00843EC9" w:rsidRDefault="00843EC9" w:rsidP="00843EC9">
      <w:pPr>
        <w:jc w:val="both"/>
      </w:pPr>
      <w:r>
        <w:t xml:space="preserve">In the Matter of the Application of </w:t>
      </w:r>
      <w:smartTag w:uri="urn:schemas-microsoft-com:office:smarttags" w:element="place">
        <w:smartTag w:uri="urn:schemas-microsoft-com:office:smarttags" w:element="City">
          <w:r>
            <w:t>Kansas City</w:t>
          </w:r>
        </w:smartTag>
      </w:smartTag>
      <w:r>
        <w:tab/>
        <w:t>)</w:t>
      </w:r>
    </w:p>
    <w:p w:rsidR="00843EC9" w:rsidRDefault="00843EC9" w:rsidP="00843EC9">
      <w:pPr>
        <w:jc w:val="both"/>
      </w:pPr>
      <w:r>
        <w:t>Power &amp; Light Company for Approval to Make</w:t>
      </w:r>
      <w:r>
        <w:tab/>
        <w:t>)</w:t>
      </w:r>
      <w:r>
        <w:tab/>
      </w:r>
    </w:p>
    <w:p w:rsidR="00843EC9" w:rsidRDefault="00843EC9" w:rsidP="00843EC9">
      <w:pPr>
        <w:jc w:val="both"/>
      </w:pPr>
      <w:r>
        <w:t>Certain Changes in its Charges for Electric</w:t>
      </w:r>
      <w:r>
        <w:tab/>
      </w:r>
      <w:r>
        <w:tab/>
        <w:t>)</w:t>
      </w:r>
      <w:r>
        <w:tab/>
        <w:t>Case No. ER-2010-0355</w:t>
      </w:r>
    </w:p>
    <w:p w:rsidR="00843EC9" w:rsidRDefault="00843EC9" w:rsidP="00843EC9">
      <w:pPr>
        <w:jc w:val="both"/>
      </w:pPr>
      <w:r>
        <w:t xml:space="preserve">Service to Continue the Implementation of </w:t>
      </w:r>
      <w:r>
        <w:tab/>
      </w:r>
      <w:r>
        <w:tab/>
        <w:t>)</w:t>
      </w:r>
    </w:p>
    <w:p w:rsidR="00843EC9" w:rsidRDefault="00843EC9" w:rsidP="00843EC9">
      <w:pPr>
        <w:jc w:val="both"/>
      </w:pPr>
      <w:r>
        <w:t>Its Regulatory Plan</w:t>
      </w:r>
      <w:r>
        <w:tab/>
      </w:r>
      <w:r>
        <w:tab/>
      </w:r>
      <w:r>
        <w:tab/>
      </w:r>
      <w:r>
        <w:tab/>
      </w:r>
      <w:r>
        <w:tab/>
        <w:t>)</w:t>
      </w:r>
    </w:p>
    <w:p w:rsidR="00843EC9" w:rsidRDefault="00843EC9" w:rsidP="00843EC9"/>
    <w:p w:rsidR="00843EC9" w:rsidRDefault="00843EC9" w:rsidP="00843EC9">
      <w:pPr>
        <w:rPr>
          <w:b/>
          <w:sz w:val="40"/>
          <w:szCs w:val="40"/>
        </w:rPr>
      </w:pPr>
    </w:p>
    <w:p w:rsidR="00843EC9" w:rsidRDefault="00843EC9" w:rsidP="00843EC9">
      <w:pPr>
        <w:rPr>
          <w:b/>
          <w:sz w:val="40"/>
          <w:szCs w:val="40"/>
        </w:rPr>
      </w:pPr>
    </w:p>
    <w:p w:rsidR="00843EC9" w:rsidRDefault="00843EC9" w:rsidP="00843EC9">
      <w:pPr>
        <w:jc w:val="center"/>
        <w:rPr>
          <w:b/>
          <w:sz w:val="40"/>
          <w:szCs w:val="40"/>
        </w:rPr>
      </w:pPr>
    </w:p>
    <w:p w:rsidR="00843EC9" w:rsidRDefault="00843EC9" w:rsidP="00843EC9">
      <w:pPr>
        <w:jc w:val="center"/>
        <w:rPr>
          <w:b/>
          <w:sz w:val="40"/>
          <w:szCs w:val="40"/>
        </w:rPr>
      </w:pPr>
    </w:p>
    <w:p w:rsidR="00843EC9" w:rsidRDefault="00843EC9" w:rsidP="00843EC9">
      <w:pPr>
        <w:jc w:val="center"/>
      </w:pPr>
      <w:r>
        <w:rPr>
          <w:b/>
          <w:sz w:val="40"/>
          <w:szCs w:val="40"/>
        </w:rPr>
        <w:t>THE UNITED STATES DEPARTMENT OF ENERGY’S</w:t>
      </w:r>
    </w:p>
    <w:p w:rsidR="00843EC9" w:rsidRDefault="00843EC9" w:rsidP="00843EC9">
      <w:pPr>
        <w:jc w:val="center"/>
        <w:rPr>
          <w:b/>
        </w:rPr>
      </w:pPr>
      <w:r w:rsidRPr="00C1540A">
        <w:rPr>
          <w:b/>
          <w:sz w:val="40"/>
          <w:szCs w:val="40"/>
        </w:rPr>
        <w:t>INITIAL POSTHEARING BRIEF</w:t>
      </w:r>
      <w:r>
        <w:rPr>
          <w:b/>
          <w:sz w:val="40"/>
          <w:szCs w:val="40"/>
        </w:rPr>
        <w:t xml:space="preserve"> </w:t>
      </w:r>
      <w:r w:rsidRPr="00C1540A">
        <w:rPr>
          <w:b/>
          <w:sz w:val="40"/>
          <w:szCs w:val="40"/>
        </w:rPr>
        <w:t xml:space="preserve"> </w:t>
      </w:r>
      <w:r>
        <w:rPr>
          <w:b/>
          <w:sz w:val="40"/>
          <w:szCs w:val="40"/>
        </w:rPr>
        <w:t xml:space="preserve">                                                     </w:t>
      </w:r>
    </w:p>
    <w:p w:rsidR="00843EC9" w:rsidRDefault="00843EC9" w:rsidP="00843EC9">
      <w:pPr>
        <w:jc w:val="center"/>
        <w:rPr>
          <w:b/>
        </w:rPr>
      </w:pPr>
    </w:p>
    <w:p w:rsidR="00843EC9" w:rsidRDefault="00843EC9" w:rsidP="00843EC9">
      <w:pPr>
        <w:jc w:val="center"/>
        <w:rPr>
          <w:b/>
        </w:rPr>
      </w:pPr>
    </w:p>
    <w:p w:rsidR="00843EC9" w:rsidRDefault="00843EC9" w:rsidP="00843EC9">
      <w:pPr>
        <w:jc w:val="center"/>
        <w:rPr>
          <w:b/>
        </w:rPr>
      </w:pPr>
    </w:p>
    <w:p w:rsidR="00843EC9" w:rsidRDefault="00843EC9" w:rsidP="00843EC9">
      <w:pPr>
        <w:jc w:val="center"/>
        <w:rPr>
          <w:b/>
        </w:rPr>
      </w:pPr>
    </w:p>
    <w:p w:rsidR="00843EC9" w:rsidRDefault="00843EC9" w:rsidP="00843EC9">
      <w:pPr>
        <w:jc w:val="center"/>
        <w:rPr>
          <w:b/>
        </w:rPr>
      </w:pPr>
    </w:p>
    <w:p w:rsidR="00843EC9" w:rsidRDefault="00843EC9" w:rsidP="00843EC9">
      <w:pPr>
        <w:jc w:val="center"/>
        <w:rPr>
          <w:b/>
        </w:rPr>
      </w:pPr>
    </w:p>
    <w:p w:rsidR="00843EC9" w:rsidRDefault="00843EC9" w:rsidP="00843EC9">
      <w:pPr>
        <w:jc w:val="center"/>
        <w:rPr>
          <w:b/>
        </w:rPr>
      </w:pPr>
    </w:p>
    <w:p w:rsidR="00843EC9" w:rsidRDefault="00843EC9" w:rsidP="00843EC9">
      <w:pPr>
        <w:spacing w:line="480" w:lineRule="auto"/>
        <w:rPr>
          <w:rFonts w:ascii="Times New Roman" w:hAnsi="Times New Roman"/>
        </w:rPr>
      </w:pPr>
      <w:r>
        <w:rPr>
          <w:rFonts w:ascii="Times New Roman" w:hAnsi="Times New Roman"/>
        </w:rPr>
        <w:t xml:space="preserve">                                                                                                                    </w:t>
      </w:r>
    </w:p>
    <w:p w:rsidR="00843EC9" w:rsidRDefault="00843EC9" w:rsidP="00843EC9">
      <w:pPr>
        <w:spacing w:line="480" w:lineRule="auto"/>
        <w:rPr>
          <w:rFonts w:ascii="Times New Roman" w:hAnsi="Times New Roman"/>
        </w:rPr>
      </w:pPr>
      <w:r>
        <w:rPr>
          <w:rFonts w:ascii="Times New Roman" w:hAnsi="Times New Roman"/>
        </w:rPr>
        <w:t xml:space="preserve">           </w:t>
      </w:r>
    </w:p>
    <w:p w:rsidR="00843EC9" w:rsidRDefault="00843EC9" w:rsidP="00843EC9">
      <w:pPr>
        <w:spacing w:line="480" w:lineRule="auto"/>
        <w:rPr>
          <w:rFonts w:ascii="Times New Roman" w:hAnsi="Times New Roman"/>
        </w:rPr>
      </w:pPr>
    </w:p>
    <w:p w:rsidR="00843EC9" w:rsidRDefault="00843EC9" w:rsidP="00843EC9">
      <w:pPr>
        <w:rPr>
          <w:rFonts w:ascii="Times New Roman" w:hAnsi="Times New Roman"/>
        </w:rPr>
      </w:pPr>
      <w:r>
        <w:rPr>
          <w:rFonts w:ascii="Times New Roman" w:hAnsi="Times New Roman"/>
        </w:rPr>
        <w:t xml:space="preserve">                                                                                            </w:t>
      </w:r>
      <w:r w:rsidR="00C0650B">
        <w:rPr>
          <w:rFonts w:ascii="Times New Roman" w:hAnsi="Times New Roman"/>
        </w:rPr>
        <w:t xml:space="preserve"> </w:t>
      </w:r>
      <w:r>
        <w:rPr>
          <w:rFonts w:ascii="Times New Roman" w:hAnsi="Times New Roman"/>
        </w:rPr>
        <w:t>Arthur Perry Bruder</w:t>
      </w:r>
    </w:p>
    <w:p w:rsidR="00843EC9" w:rsidRPr="00843EC9" w:rsidRDefault="00843EC9" w:rsidP="00843EC9">
      <w:pPr>
        <w:rPr>
          <w:rFonts w:ascii="Times New Roman" w:hAnsi="Times New Roman"/>
          <w:i/>
        </w:rPr>
      </w:pPr>
      <w:r>
        <w:rPr>
          <w:rFonts w:ascii="Times New Roman" w:hAnsi="Times New Roman"/>
        </w:rPr>
        <w:t xml:space="preserve">                                                                                             p</w:t>
      </w:r>
      <w:r>
        <w:rPr>
          <w:rFonts w:ascii="Times New Roman" w:hAnsi="Times New Roman"/>
          <w:i/>
        </w:rPr>
        <w:t>ro hac vice</w:t>
      </w:r>
    </w:p>
    <w:p w:rsidR="00843EC9" w:rsidRDefault="00843EC9" w:rsidP="00843EC9">
      <w:pPr>
        <w:rPr>
          <w:rFonts w:ascii="Times New Roman" w:hAnsi="Times New Roman"/>
        </w:rPr>
      </w:pPr>
      <w:r>
        <w:rPr>
          <w:rFonts w:ascii="Times New Roman" w:hAnsi="Times New Roman"/>
        </w:rPr>
        <w:t xml:space="preserve">                                                                                             Attorney for </w:t>
      </w:r>
    </w:p>
    <w:p w:rsidR="00843EC9" w:rsidRDefault="00843EC9" w:rsidP="00843EC9">
      <w:pPr>
        <w:rPr>
          <w:rFonts w:ascii="Times New Roman" w:hAnsi="Times New Roman"/>
        </w:rPr>
      </w:pPr>
      <w:r>
        <w:rPr>
          <w:rFonts w:ascii="Times New Roman" w:hAnsi="Times New Roman"/>
        </w:rPr>
        <w:t xml:space="preserve">                                                                                             United States Department of Energy</w:t>
      </w:r>
    </w:p>
    <w:p w:rsidR="00843EC9" w:rsidRDefault="00843EC9" w:rsidP="00843EC9">
      <w:pPr>
        <w:rPr>
          <w:rFonts w:ascii="Times New Roman" w:hAnsi="Times New Roman"/>
        </w:rPr>
      </w:pPr>
      <w:r>
        <w:rPr>
          <w:rFonts w:ascii="Times New Roman" w:hAnsi="Times New Roman"/>
        </w:rPr>
        <w:t xml:space="preserve">                                                                                             1000 Independence Ave. SW</w:t>
      </w:r>
    </w:p>
    <w:p w:rsidR="00843EC9" w:rsidRPr="00747CB7" w:rsidRDefault="00843EC9" w:rsidP="00843EC9">
      <w:pPr>
        <w:rPr>
          <w:rFonts w:ascii="Times New Roman" w:hAnsi="Times New Roman"/>
        </w:rPr>
      </w:pPr>
      <w:r>
        <w:rPr>
          <w:rFonts w:ascii="Times New Roman" w:hAnsi="Times New Roman"/>
        </w:rPr>
        <w:t xml:space="preserve">                                                                                             Washington, DC 20585</w:t>
      </w:r>
    </w:p>
    <w:p w:rsidR="00843EC9" w:rsidRDefault="00843EC9" w:rsidP="00843EC9">
      <w:pPr>
        <w:rPr>
          <w:rFonts w:ascii="Times New Roman" w:hAnsi="Times New Roman"/>
        </w:rPr>
      </w:pPr>
      <w:r>
        <w:rPr>
          <w:rFonts w:ascii="Times New Roman" w:hAnsi="Times New Roman"/>
        </w:rPr>
        <w:t xml:space="preserve">                                                                                             </w:t>
      </w:r>
      <w:hyperlink r:id="rId8" w:history="1">
        <w:r w:rsidRPr="00343012">
          <w:rPr>
            <w:rStyle w:val="Hyperlink"/>
            <w:rFonts w:ascii="Times New Roman" w:hAnsi="Times New Roman"/>
          </w:rPr>
          <w:t>Arthur.Bruder@hq.doe.gov</w:t>
        </w:r>
      </w:hyperlink>
      <w:r>
        <w:rPr>
          <w:rFonts w:ascii="Times New Roman" w:hAnsi="Times New Roman"/>
        </w:rPr>
        <w:t xml:space="preserve">                                                                                                                                                </w:t>
      </w:r>
    </w:p>
    <w:p w:rsidR="00843EC9" w:rsidRPr="00747CB7" w:rsidRDefault="00843EC9" w:rsidP="00843EC9">
      <w:pPr>
        <w:spacing w:line="480" w:lineRule="auto"/>
        <w:rPr>
          <w:rFonts w:ascii="Times New Roman" w:hAnsi="Times New Roman"/>
        </w:rPr>
      </w:pPr>
      <w:r>
        <w:rPr>
          <w:rFonts w:ascii="Times New Roman" w:hAnsi="Times New Roman"/>
        </w:rPr>
        <w:t xml:space="preserve">                                                                                             (202) 586-3409</w:t>
      </w:r>
    </w:p>
    <w:p w:rsidR="00843EC9" w:rsidRDefault="00843EC9" w:rsidP="00843EC9"/>
    <w:p w:rsidR="00843EC9" w:rsidRDefault="00843EC9" w:rsidP="00843EC9">
      <w:pPr>
        <w:ind w:left="5040"/>
      </w:pPr>
    </w:p>
    <w:p w:rsidR="00843EC9" w:rsidRDefault="00843EC9" w:rsidP="00843EC9"/>
    <w:p w:rsidR="008227DB" w:rsidRPr="006B3934" w:rsidRDefault="00843EC9" w:rsidP="006B3934">
      <w:r>
        <w:t xml:space="preserve">March 10, </w:t>
      </w:r>
      <w:r w:rsidR="00C0650B">
        <w:t>2011</w:t>
      </w:r>
    </w:p>
    <w:p w:rsidR="008227DB" w:rsidRDefault="008227DB" w:rsidP="002F3D78">
      <w:pPr>
        <w:jc w:val="center"/>
        <w:rPr>
          <w:rFonts w:ascii="Times New Roman" w:hAnsi="Times New Roman"/>
          <w:b/>
        </w:rPr>
      </w:pPr>
    </w:p>
    <w:p w:rsidR="008227DB" w:rsidRDefault="008227DB" w:rsidP="002F3D78">
      <w:pPr>
        <w:jc w:val="center"/>
        <w:rPr>
          <w:rFonts w:ascii="Times New Roman" w:hAnsi="Times New Roman"/>
          <w:b/>
        </w:rPr>
      </w:pPr>
    </w:p>
    <w:p w:rsidR="000C3D42" w:rsidRPr="000C3D42" w:rsidRDefault="000C3D42" w:rsidP="002F3D78">
      <w:pPr>
        <w:jc w:val="center"/>
        <w:rPr>
          <w:rFonts w:ascii="Times New Roman" w:hAnsi="Times New Roman"/>
          <w:b/>
        </w:rPr>
      </w:pPr>
      <w:r w:rsidRPr="000C3D42">
        <w:rPr>
          <w:rFonts w:ascii="Times New Roman" w:hAnsi="Times New Roman"/>
          <w:b/>
        </w:rPr>
        <w:t xml:space="preserve">BEFORE THE MISSOURI PUBLIC SERVICE </w:t>
      </w:r>
      <w:r w:rsidR="00054D30">
        <w:rPr>
          <w:rFonts w:ascii="Times New Roman" w:hAnsi="Times New Roman"/>
          <w:b/>
        </w:rPr>
        <w:t>COMMISSION</w:t>
      </w:r>
    </w:p>
    <w:p w:rsidR="000C3D42" w:rsidRPr="000C3D42" w:rsidRDefault="000C3D42" w:rsidP="000C3D42">
      <w:pPr>
        <w:rPr>
          <w:rFonts w:ascii="Times New Roman" w:hAnsi="Times New Roman"/>
          <w:b/>
        </w:rPr>
      </w:pPr>
    </w:p>
    <w:p w:rsidR="008227DB" w:rsidRDefault="008227DB" w:rsidP="000C3D42">
      <w:pPr>
        <w:rPr>
          <w:rFonts w:ascii="Times New Roman" w:hAnsi="Times New Roman"/>
          <w:b/>
        </w:rPr>
      </w:pPr>
    </w:p>
    <w:p w:rsidR="000C3D42" w:rsidRPr="000C3D42" w:rsidRDefault="000C3D42" w:rsidP="000C3D42">
      <w:pPr>
        <w:rPr>
          <w:rFonts w:ascii="Times New Roman" w:hAnsi="Times New Roman"/>
          <w:b/>
        </w:rPr>
      </w:pPr>
      <w:r w:rsidRPr="000C3D42">
        <w:rPr>
          <w:rFonts w:ascii="Times New Roman" w:hAnsi="Times New Roman"/>
          <w:b/>
        </w:rPr>
        <w:t xml:space="preserve">In the Matter of the Application of Kansas City      ) </w:t>
      </w:r>
    </w:p>
    <w:p w:rsidR="000C3D42" w:rsidRPr="000C3D42" w:rsidRDefault="000C3D42" w:rsidP="000C3D42">
      <w:pPr>
        <w:rPr>
          <w:rFonts w:ascii="Times New Roman" w:hAnsi="Times New Roman"/>
          <w:b/>
        </w:rPr>
      </w:pPr>
      <w:r w:rsidRPr="000C3D42">
        <w:rPr>
          <w:rFonts w:ascii="Times New Roman" w:hAnsi="Times New Roman"/>
          <w:b/>
        </w:rPr>
        <w:t xml:space="preserve">Power and Light Company for Approval to             ) </w:t>
      </w:r>
    </w:p>
    <w:p w:rsidR="000C3D42" w:rsidRPr="000C3D42" w:rsidRDefault="000C3D42" w:rsidP="000C3D42">
      <w:pPr>
        <w:rPr>
          <w:rFonts w:ascii="Times New Roman" w:hAnsi="Times New Roman"/>
          <w:b/>
        </w:rPr>
      </w:pPr>
      <w:r w:rsidRPr="000C3D42">
        <w:rPr>
          <w:rFonts w:ascii="Times New Roman" w:hAnsi="Times New Roman"/>
          <w:b/>
        </w:rPr>
        <w:t xml:space="preserve">Make Certain Changes in its Charges for Electric   )   Case No. ER-2010-0355 </w:t>
      </w:r>
    </w:p>
    <w:p w:rsidR="000C3D42" w:rsidRPr="000C3D42" w:rsidRDefault="000C3D42" w:rsidP="000C3D42">
      <w:pPr>
        <w:rPr>
          <w:rFonts w:ascii="Times New Roman" w:hAnsi="Times New Roman"/>
          <w:b/>
        </w:rPr>
      </w:pPr>
      <w:r w:rsidRPr="000C3D42">
        <w:rPr>
          <w:rFonts w:ascii="Times New Roman" w:hAnsi="Times New Roman"/>
          <w:b/>
        </w:rPr>
        <w:t xml:space="preserve">Service to Continue the Implementation                   ) </w:t>
      </w:r>
    </w:p>
    <w:p w:rsidR="000C3D42" w:rsidRPr="000C3D42" w:rsidRDefault="000C3D42" w:rsidP="000C3D42">
      <w:pPr>
        <w:rPr>
          <w:rFonts w:ascii="Times New Roman" w:hAnsi="Times New Roman"/>
          <w:b/>
        </w:rPr>
      </w:pPr>
      <w:r w:rsidRPr="000C3D42">
        <w:rPr>
          <w:rFonts w:ascii="Times New Roman" w:hAnsi="Times New Roman"/>
          <w:b/>
        </w:rPr>
        <w:t xml:space="preserve">of its Regulatory Plan                                                  )           </w:t>
      </w:r>
    </w:p>
    <w:p w:rsidR="000C3D42" w:rsidRPr="000C3D42" w:rsidRDefault="000C3D42" w:rsidP="000C3D42">
      <w:pPr>
        <w:spacing w:line="480" w:lineRule="auto"/>
        <w:rPr>
          <w:rFonts w:ascii="Times New Roman" w:hAnsi="Times New Roman"/>
          <w:bCs/>
        </w:rPr>
      </w:pPr>
    </w:p>
    <w:p w:rsidR="000C3D42" w:rsidRPr="000C3D42" w:rsidRDefault="000C3D42" w:rsidP="000C3D42">
      <w:pPr>
        <w:spacing w:line="480" w:lineRule="auto"/>
        <w:rPr>
          <w:rFonts w:ascii="Times New Roman" w:hAnsi="Times New Roman"/>
          <w:bCs/>
        </w:rPr>
      </w:pPr>
    </w:p>
    <w:p w:rsidR="000C3D42" w:rsidRPr="00A27B38" w:rsidRDefault="000C3D42" w:rsidP="00A27B38">
      <w:pPr>
        <w:tabs>
          <w:tab w:val="left" w:pos="2070"/>
        </w:tabs>
        <w:spacing w:line="480" w:lineRule="auto"/>
        <w:jc w:val="center"/>
        <w:rPr>
          <w:rFonts w:ascii="Times New Roman" w:hAnsi="Times New Roman"/>
          <w:b/>
          <w:u w:val="single"/>
        </w:rPr>
      </w:pPr>
      <w:r w:rsidRPr="00A27B38">
        <w:rPr>
          <w:rFonts w:ascii="Times New Roman" w:hAnsi="Times New Roman"/>
          <w:b/>
          <w:bCs/>
          <w:u w:val="single"/>
        </w:rPr>
        <w:t>INITIAL BRIEF OF THE UNITED STATES DEPARTMENT OF ENERGY</w:t>
      </w:r>
    </w:p>
    <w:p w:rsidR="000C3D42" w:rsidRPr="000C3D42" w:rsidRDefault="000C3D42" w:rsidP="000C3D42">
      <w:pPr>
        <w:spacing w:line="480" w:lineRule="auto"/>
        <w:rPr>
          <w:rFonts w:ascii="Times New Roman" w:hAnsi="Times New Roman"/>
        </w:rPr>
      </w:pPr>
      <w:r w:rsidRPr="000C3D42">
        <w:rPr>
          <w:rFonts w:ascii="Times New Roman" w:hAnsi="Times New Roman"/>
        </w:rPr>
        <w:t xml:space="preserve">COME NOW the United States Department of Energy and the United States Nuclear Security Administration (“DOE/NNSA” or “the Department”), by and through counsel, and for its initial brief in the above-captioned proceeding states as follows: </w:t>
      </w:r>
    </w:p>
    <w:p w:rsidR="00012DA4" w:rsidRDefault="00012DA4" w:rsidP="000C3D42">
      <w:pPr>
        <w:spacing w:line="480" w:lineRule="auto"/>
        <w:rPr>
          <w:rFonts w:ascii="Times New Roman" w:hAnsi="Times New Roman"/>
          <w:b/>
        </w:rPr>
      </w:pPr>
    </w:p>
    <w:p w:rsidR="00687F3B" w:rsidRDefault="000C3D42" w:rsidP="000C3D42">
      <w:pPr>
        <w:spacing w:line="480" w:lineRule="auto"/>
        <w:rPr>
          <w:rFonts w:ascii="Times New Roman" w:hAnsi="Times New Roman"/>
          <w:b/>
        </w:rPr>
      </w:pPr>
      <w:r w:rsidRPr="00CC620A">
        <w:rPr>
          <w:rFonts w:ascii="Times New Roman" w:hAnsi="Times New Roman"/>
          <w:b/>
        </w:rPr>
        <w:t xml:space="preserve">I.   </w:t>
      </w:r>
      <w:r w:rsidR="00687F3B">
        <w:rPr>
          <w:rFonts w:ascii="Times New Roman" w:hAnsi="Times New Roman"/>
          <w:b/>
        </w:rPr>
        <w:t>Introduction</w:t>
      </w:r>
    </w:p>
    <w:p w:rsidR="001C689A" w:rsidRPr="001C689A" w:rsidRDefault="001C689A" w:rsidP="000C3D42">
      <w:pPr>
        <w:spacing w:line="480" w:lineRule="auto"/>
        <w:rPr>
          <w:rFonts w:ascii="Times New Roman" w:hAnsi="Times New Roman"/>
          <w:b/>
        </w:rPr>
      </w:pPr>
      <w:r>
        <w:rPr>
          <w:rFonts w:ascii="Times New Roman" w:hAnsi="Times New Roman"/>
          <w:b/>
        </w:rPr>
        <w:t>A.  The Department’s Interest</w:t>
      </w:r>
      <w:r w:rsidR="008227DB">
        <w:rPr>
          <w:rFonts w:ascii="Times New Roman" w:hAnsi="Times New Roman"/>
          <w:b/>
        </w:rPr>
        <w:t>s</w:t>
      </w:r>
      <w:r>
        <w:rPr>
          <w:rFonts w:ascii="Times New Roman" w:hAnsi="Times New Roman"/>
          <w:b/>
        </w:rPr>
        <w:t xml:space="preserve"> in This Proceeding </w:t>
      </w:r>
    </w:p>
    <w:p w:rsidR="001C689A" w:rsidRDefault="001C689A" w:rsidP="001C689A">
      <w:pPr>
        <w:spacing w:line="480" w:lineRule="auto"/>
        <w:rPr>
          <w:rFonts w:ascii="Times New Roman" w:hAnsi="Times New Roman"/>
        </w:rPr>
      </w:pPr>
      <w:r>
        <w:rPr>
          <w:rFonts w:ascii="Times New Roman" w:hAnsi="Times New Roman"/>
        </w:rPr>
        <w:t>DOE/NNSA owns and operates the Kansas City Site Office and an industrial facility located in Kansas City, M</w:t>
      </w:r>
      <w:r w:rsidR="00A00627">
        <w:rPr>
          <w:rFonts w:ascii="Times New Roman" w:hAnsi="Times New Roman"/>
        </w:rPr>
        <w:t>O</w:t>
      </w:r>
      <w:r>
        <w:rPr>
          <w:rFonts w:ascii="Times New Roman" w:hAnsi="Times New Roman"/>
        </w:rPr>
        <w:t>.  Th</w:t>
      </w:r>
      <w:r w:rsidR="00A00627">
        <w:rPr>
          <w:rFonts w:ascii="Times New Roman" w:hAnsi="Times New Roman"/>
        </w:rPr>
        <w:t xml:space="preserve">ese </w:t>
      </w:r>
      <w:r>
        <w:rPr>
          <w:rFonts w:ascii="Times New Roman" w:hAnsi="Times New Roman"/>
        </w:rPr>
        <w:t xml:space="preserve">consume approximately 160,000 </w:t>
      </w:r>
      <w:r w:rsidR="008652B0">
        <w:rPr>
          <w:rFonts w:ascii="Times New Roman" w:hAnsi="Times New Roman"/>
        </w:rPr>
        <w:t>mWhs</w:t>
      </w:r>
      <w:r>
        <w:rPr>
          <w:rFonts w:ascii="Times New Roman" w:hAnsi="Times New Roman"/>
        </w:rPr>
        <w:t xml:space="preserve"> of electric power annually, at a cost of approximately $6 million.  For this reason, DOE/NNSA’s interests differ materially from those of the general public, and will be significantly impacted by the $92 million increase in electric rates which </w:t>
      </w:r>
      <w:r w:rsidR="00012DA4">
        <w:rPr>
          <w:rFonts w:ascii="Times New Roman" w:hAnsi="Times New Roman"/>
        </w:rPr>
        <w:t xml:space="preserve">Kansas City Power &amp; Light Company (“KCPL,” or “the Company”) </w:t>
      </w:r>
      <w:r>
        <w:rPr>
          <w:rFonts w:ascii="Times New Roman" w:hAnsi="Times New Roman"/>
        </w:rPr>
        <w:t xml:space="preserve">seeks.     </w:t>
      </w:r>
    </w:p>
    <w:p w:rsidR="00012DA4" w:rsidRDefault="00012DA4" w:rsidP="000C3D42">
      <w:pPr>
        <w:spacing w:line="480" w:lineRule="auto"/>
        <w:rPr>
          <w:rFonts w:ascii="Times New Roman" w:hAnsi="Times New Roman"/>
        </w:rPr>
      </w:pPr>
    </w:p>
    <w:p w:rsidR="00012DA4" w:rsidRPr="00012DA4" w:rsidRDefault="00012DA4" w:rsidP="000C3D42">
      <w:pPr>
        <w:spacing w:line="480" w:lineRule="auto"/>
        <w:rPr>
          <w:rFonts w:ascii="Times New Roman" w:hAnsi="Times New Roman"/>
          <w:b/>
        </w:rPr>
      </w:pPr>
      <w:r>
        <w:rPr>
          <w:rFonts w:ascii="Times New Roman" w:hAnsi="Times New Roman"/>
          <w:b/>
        </w:rPr>
        <w:t>B.  The Department’s Witnesses</w:t>
      </w:r>
    </w:p>
    <w:p w:rsidR="00012DA4" w:rsidRPr="00012DA4" w:rsidRDefault="00012DA4" w:rsidP="000C3D42">
      <w:pPr>
        <w:spacing w:line="480" w:lineRule="auto"/>
        <w:rPr>
          <w:rFonts w:ascii="Times New Roman" w:hAnsi="Times New Roman"/>
        </w:rPr>
      </w:pPr>
      <w:r w:rsidRPr="00012DA4">
        <w:rPr>
          <w:rFonts w:ascii="Times New Roman" w:hAnsi="Times New Roman"/>
          <w:b/>
        </w:rPr>
        <w:lastRenderedPageBreak/>
        <w:t>1.</w:t>
      </w:r>
      <w:r>
        <w:rPr>
          <w:rFonts w:ascii="Times New Roman" w:hAnsi="Times New Roman"/>
        </w:rPr>
        <w:t xml:space="preserve"> </w:t>
      </w:r>
      <w:r w:rsidR="001C689A" w:rsidRPr="001C689A">
        <w:rPr>
          <w:rFonts w:ascii="Times New Roman" w:hAnsi="Times New Roman"/>
        </w:rPr>
        <w:t xml:space="preserve"> </w:t>
      </w:r>
      <w:r>
        <w:rPr>
          <w:rFonts w:ascii="Times New Roman" w:hAnsi="Times New Roman"/>
          <w:b/>
        </w:rPr>
        <w:t>Mr. Michael Gorman</w:t>
      </w:r>
      <w:r>
        <w:rPr>
          <w:rFonts w:ascii="Times New Roman" w:hAnsi="Times New Roman"/>
        </w:rPr>
        <w:t xml:space="preserve"> </w:t>
      </w:r>
      <w:r w:rsidR="00E321A3">
        <w:rPr>
          <w:rFonts w:ascii="Times New Roman" w:hAnsi="Times New Roman"/>
        </w:rPr>
        <w:t xml:space="preserve"> </w:t>
      </w:r>
      <w:r>
        <w:rPr>
          <w:rFonts w:ascii="Times New Roman" w:hAnsi="Times New Roman"/>
        </w:rPr>
        <w:t xml:space="preserve">-  </w:t>
      </w:r>
      <w:r w:rsidR="001C689A">
        <w:rPr>
          <w:rFonts w:ascii="Times New Roman" w:hAnsi="Times New Roman"/>
        </w:rPr>
        <w:t xml:space="preserve">In regard return on equity (“ROE”), </w:t>
      </w:r>
      <w:r w:rsidR="001C689A" w:rsidRPr="001C689A">
        <w:rPr>
          <w:rFonts w:ascii="Times New Roman" w:hAnsi="Times New Roman"/>
        </w:rPr>
        <w:t>D</w:t>
      </w:r>
      <w:r w:rsidR="00A00627">
        <w:rPr>
          <w:rFonts w:ascii="Times New Roman" w:hAnsi="Times New Roman"/>
        </w:rPr>
        <w:t>OE</w:t>
      </w:r>
      <w:r w:rsidR="001C689A">
        <w:rPr>
          <w:rFonts w:ascii="Times New Roman" w:hAnsi="Times New Roman"/>
        </w:rPr>
        <w:t xml:space="preserve">, together with the Midwest Energy Users Association (“MEUA”) and the Missouri Industrial Energy Customers (“MIEC”) </w:t>
      </w:r>
      <w:r w:rsidR="00136236">
        <w:rPr>
          <w:rFonts w:ascii="Times New Roman" w:hAnsi="Times New Roman"/>
        </w:rPr>
        <w:t xml:space="preserve">presented direct, rebuttal, and surrebuttal testimony of </w:t>
      </w:r>
      <w:r w:rsidR="001C689A">
        <w:rPr>
          <w:rFonts w:ascii="Times New Roman" w:hAnsi="Times New Roman"/>
        </w:rPr>
        <w:t xml:space="preserve">Mr. Michael Gorman.  Mr. Gorman is a managing principal with the firm of Brubaker &amp; Associates, Chesterfield, Mo.  </w:t>
      </w:r>
    </w:p>
    <w:p w:rsidR="00136236" w:rsidRPr="00136236" w:rsidRDefault="00012DA4" w:rsidP="000C3D42">
      <w:pPr>
        <w:spacing w:line="480" w:lineRule="auto"/>
        <w:rPr>
          <w:rFonts w:ascii="Times New Roman" w:hAnsi="Times New Roman"/>
        </w:rPr>
      </w:pPr>
      <w:r>
        <w:rPr>
          <w:rFonts w:ascii="Times New Roman" w:hAnsi="Times New Roman"/>
          <w:b/>
        </w:rPr>
        <w:t>2</w:t>
      </w:r>
      <w:r w:rsidRPr="00012DA4">
        <w:rPr>
          <w:rFonts w:ascii="Times New Roman" w:hAnsi="Times New Roman"/>
          <w:b/>
        </w:rPr>
        <w:t>.  Dr. Dennis Goins</w:t>
      </w:r>
      <w:r>
        <w:rPr>
          <w:rFonts w:ascii="Times New Roman" w:hAnsi="Times New Roman"/>
        </w:rPr>
        <w:t xml:space="preserve">  -  </w:t>
      </w:r>
      <w:r w:rsidR="00136236" w:rsidRPr="00136236">
        <w:rPr>
          <w:rFonts w:ascii="Times New Roman" w:hAnsi="Times New Roman"/>
        </w:rPr>
        <w:t>In regard to rate desig</w:t>
      </w:r>
      <w:r w:rsidR="00136236">
        <w:rPr>
          <w:rFonts w:ascii="Times New Roman" w:hAnsi="Times New Roman"/>
        </w:rPr>
        <w:t>n</w:t>
      </w:r>
      <w:r w:rsidR="00136236" w:rsidRPr="00136236">
        <w:rPr>
          <w:rFonts w:ascii="Times New Roman" w:hAnsi="Times New Roman"/>
        </w:rPr>
        <w:t>/cost of service</w:t>
      </w:r>
      <w:r w:rsidR="00136236">
        <w:rPr>
          <w:rFonts w:ascii="Times New Roman" w:hAnsi="Times New Roman"/>
        </w:rPr>
        <w:t>, D</w:t>
      </w:r>
      <w:r w:rsidR="00A00627">
        <w:rPr>
          <w:rFonts w:ascii="Times New Roman" w:hAnsi="Times New Roman"/>
        </w:rPr>
        <w:t>OE</w:t>
      </w:r>
      <w:r w:rsidR="00136236">
        <w:rPr>
          <w:rFonts w:ascii="Times New Roman" w:hAnsi="Times New Roman"/>
        </w:rPr>
        <w:t xml:space="preserve"> sponsored direct, rebuttal and surrebuttal testimony </w:t>
      </w:r>
      <w:r w:rsidR="00C50FE5">
        <w:rPr>
          <w:rFonts w:ascii="Times New Roman" w:hAnsi="Times New Roman"/>
        </w:rPr>
        <w:t>of Dr</w:t>
      </w:r>
      <w:r w:rsidR="00136236">
        <w:rPr>
          <w:rFonts w:ascii="Times New Roman" w:hAnsi="Times New Roman"/>
        </w:rPr>
        <w:t xml:space="preserve">. Dennis Goins, who operates Potomac Management Group, Alexandria, VA.    </w:t>
      </w:r>
    </w:p>
    <w:p w:rsidR="00012DA4" w:rsidRDefault="00012DA4" w:rsidP="000C3D42">
      <w:pPr>
        <w:spacing w:line="480" w:lineRule="auto"/>
        <w:rPr>
          <w:rFonts w:ascii="Times New Roman" w:hAnsi="Times New Roman"/>
          <w:b/>
        </w:rPr>
      </w:pPr>
    </w:p>
    <w:p w:rsidR="001C689A" w:rsidRDefault="00012DA4" w:rsidP="000C3D42">
      <w:pPr>
        <w:spacing w:line="480" w:lineRule="auto"/>
        <w:rPr>
          <w:rFonts w:ascii="Times New Roman" w:hAnsi="Times New Roman"/>
          <w:b/>
        </w:rPr>
      </w:pPr>
      <w:r>
        <w:rPr>
          <w:rFonts w:ascii="Times New Roman" w:hAnsi="Times New Roman"/>
          <w:b/>
        </w:rPr>
        <w:t>C</w:t>
      </w:r>
      <w:r w:rsidR="001C689A">
        <w:rPr>
          <w:rFonts w:ascii="Times New Roman" w:hAnsi="Times New Roman"/>
          <w:b/>
        </w:rPr>
        <w:t xml:space="preserve">.   The Department’s Positions on the Issues </w:t>
      </w:r>
    </w:p>
    <w:p w:rsidR="00136236" w:rsidRDefault="00136236" w:rsidP="000C3D42">
      <w:pPr>
        <w:spacing w:line="480" w:lineRule="auto"/>
        <w:rPr>
          <w:rFonts w:ascii="Times New Roman" w:hAnsi="Times New Roman"/>
          <w:b/>
        </w:rPr>
      </w:pPr>
      <w:r>
        <w:rPr>
          <w:rFonts w:ascii="Times New Roman" w:hAnsi="Times New Roman"/>
          <w:b/>
        </w:rPr>
        <w:t>1.  Return on Equity</w:t>
      </w:r>
      <w:r w:rsidR="0020324B">
        <w:rPr>
          <w:rFonts w:ascii="Times New Roman" w:hAnsi="Times New Roman"/>
          <w:b/>
        </w:rPr>
        <w:t xml:space="preserve">   </w:t>
      </w:r>
    </w:p>
    <w:p w:rsidR="001F3FE9" w:rsidRDefault="00136236" w:rsidP="00136236">
      <w:pPr>
        <w:spacing w:line="480" w:lineRule="auto"/>
        <w:rPr>
          <w:rFonts w:ascii="Times New Roman" w:hAnsi="Times New Roman"/>
        </w:rPr>
      </w:pPr>
      <w:r w:rsidRPr="00136236">
        <w:rPr>
          <w:rFonts w:ascii="Times New Roman" w:hAnsi="Times New Roman"/>
        </w:rPr>
        <w:t>The Commission should adopt Mr. Gorman’s recommendation to grant the Company a</w:t>
      </w:r>
      <w:r w:rsidR="001F3FE9">
        <w:rPr>
          <w:rFonts w:ascii="Times New Roman" w:hAnsi="Times New Roman"/>
        </w:rPr>
        <w:t xml:space="preserve">n </w:t>
      </w:r>
      <w:r w:rsidRPr="00136236">
        <w:rPr>
          <w:rFonts w:ascii="Times New Roman" w:hAnsi="Times New Roman"/>
        </w:rPr>
        <w:t>ROE of 9.65%</w:t>
      </w:r>
      <w:r w:rsidR="00F541A5">
        <w:rPr>
          <w:rFonts w:ascii="Times New Roman" w:hAnsi="Times New Roman"/>
        </w:rPr>
        <w:t xml:space="preserve">.  Mr. Gorman’s </w:t>
      </w:r>
      <w:r w:rsidR="0020324B">
        <w:rPr>
          <w:rFonts w:ascii="Times New Roman" w:hAnsi="Times New Roman"/>
        </w:rPr>
        <w:t xml:space="preserve">has developed his </w:t>
      </w:r>
      <w:r w:rsidR="00F541A5">
        <w:rPr>
          <w:rFonts w:ascii="Times New Roman" w:hAnsi="Times New Roman"/>
        </w:rPr>
        <w:t xml:space="preserve">recommendation </w:t>
      </w:r>
      <w:r w:rsidR="0020324B">
        <w:rPr>
          <w:rFonts w:ascii="Times New Roman" w:hAnsi="Times New Roman"/>
        </w:rPr>
        <w:t xml:space="preserve">on the </w:t>
      </w:r>
      <w:r w:rsidR="00F541A5">
        <w:rPr>
          <w:rFonts w:ascii="Times New Roman" w:hAnsi="Times New Roman"/>
        </w:rPr>
        <w:t>bas</w:t>
      </w:r>
      <w:r w:rsidR="0020324B">
        <w:rPr>
          <w:rFonts w:ascii="Times New Roman" w:hAnsi="Times New Roman"/>
        </w:rPr>
        <w:t>is of</w:t>
      </w:r>
      <w:r w:rsidR="00F541A5">
        <w:rPr>
          <w:rFonts w:ascii="Times New Roman" w:hAnsi="Times New Roman"/>
        </w:rPr>
        <w:t xml:space="preserve"> </w:t>
      </w:r>
      <w:r w:rsidR="0020324B">
        <w:rPr>
          <w:rFonts w:ascii="Times New Roman" w:hAnsi="Times New Roman"/>
        </w:rPr>
        <w:t xml:space="preserve">carefully considered </w:t>
      </w:r>
      <w:r w:rsidR="00F541A5">
        <w:rPr>
          <w:rFonts w:ascii="Times New Roman" w:hAnsi="Times New Roman"/>
        </w:rPr>
        <w:t xml:space="preserve">application of </w:t>
      </w:r>
      <w:r w:rsidR="0020324B">
        <w:rPr>
          <w:rFonts w:ascii="Times New Roman" w:hAnsi="Times New Roman"/>
        </w:rPr>
        <w:t xml:space="preserve">each of the </w:t>
      </w:r>
      <w:r w:rsidR="0094477F">
        <w:rPr>
          <w:rFonts w:ascii="Times New Roman" w:hAnsi="Times New Roman"/>
        </w:rPr>
        <w:t xml:space="preserve">three </w:t>
      </w:r>
      <w:r w:rsidR="00F541A5">
        <w:rPr>
          <w:rFonts w:ascii="Times New Roman" w:hAnsi="Times New Roman"/>
        </w:rPr>
        <w:t xml:space="preserve">well-established </w:t>
      </w:r>
      <w:r w:rsidR="0020324B">
        <w:rPr>
          <w:rFonts w:ascii="Times New Roman" w:hAnsi="Times New Roman"/>
        </w:rPr>
        <w:t>ROE</w:t>
      </w:r>
      <w:r w:rsidR="00F541A5">
        <w:rPr>
          <w:rFonts w:ascii="Times New Roman" w:hAnsi="Times New Roman"/>
        </w:rPr>
        <w:t xml:space="preserve"> methodologies </w:t>
      </w:r>
      <w:r w:rsidR="004A4A86">
        <w:rPr>
          <w:rFonts w:ascii="Times New Roman" w:hAnsi="Times New Roman"/>
        </w:rPr>
        <w:t xml:space="preserve">oft </w:t>
      </w:r>
      <w:r w:rsidR="00F541A5">
        <w:rPr>
          <w:rFonts w:ascii="Times New Roman" w:hAnsi="Times New Roman"/>
        </w:rPr>
        <w:t xml:space="preserve">relied on by this Commission.  </w:t>
      </w:r>
      <w:r w:rsidR="0020324B">
        <w:rPr>
          <w:rFonts w:ascii="Times New Roman" w:hAnsi="Times New Roman"/>
        </w:rPr>
        <w:t xml:space="preserve">He has premised his application of each of those methodologies upon well thought out, thoroughly documented, and highly credible assumptions and calculations. </w:t>
      </w:r>
      <w:r w:rsidR="001F3FE9">
        <w:rPr>
          <w:rFonts w:ascii="Times New Roman" w:hAnsi="Times New Roman"/>
        </w:rPr>
        <w:t xml:space="preserve"> </w:t>
      </w:r>
    </w:p>
    <w:p w:rsidR="00E321A3" w:rsidRDefault="00E321A3" w:rsidP="00136236">
      <w:pPr>
        <w:spacing w:line="480" w:lineRule="auto"/>
        <w:rPr>
          <w:rFonts w:ascii="Times New Roman" w:hAnsi="Times New Roman"/>
        </w:rPr>
      </w:pPr>
    </w:p>
    <w:p w:rsidR="00A00627" w:rsidRDefault="001F3FE9" w:rsidP="00136236">
      <w:pPr>
        <w:spacing w:line="480" w:lineRule="auto"/>
        <w:rPr>
          <w:rFonts w:ascii="Times New Roman" w:hAnsi="Times New Roman"/>
          <w:b/>
        </w:rPr>
      </w:pPr>
      <w:r>
        <w:rPr>
          <w:rFonts w:ascii="Times New Roman" w:hAnsi="Times New Roman"/>
        </w:rPr>
        <w:t xml:space="preserve">The Commission should reject </w:t>
      </w:r>
      <w:r w:rsidR="0020324B">
        <w:rPr>
          <w:rFonts w:ascii="Times New Roman" w:hAnsi="Times New Roman"/>
        </w:rPr>
        <w:t xml:space="preserve">Company witness </w:t>
      </w:r>
      <w:r w:rsidR="0020324B" w:rsidRPr="00136236">
        <w:rPr>
          <w:rFonts w:ascii="Times New Roman" w:hAnsi="Times New Roman"/>
        </w:rPr>
        <w:t xml:space="preserve">Dr. </w:t>
      </w:r>
      <w:r w:rsidR="0020324B">
        <w:rPr>
          <w:rFonts w:ascii="Times New Roman" w:hAnsi="Times New Roman"/>
        </w:rPr>
        <w:t xml:space="preserve">Samuel </w:t>
      </w:r>
      <w:r w:rsidR="0020324B" w:rsidRPr="00136236">
        <w:rPr>
          <w:rFonts w:ascii="Times New Roman" w:hAnsi="Times New Roman"/>
        </w:rPr>
        <w:t>Hadaway</w:t>
      </w:r>
      <w:r>
        <w:rPr>
          <w:rFonts w:ascii="Times New Roman" w:hAnsi="Times New Roman"/>
        </w:rPr>
        <w:t>‘s recommendation to grant an ROE of 1</w:t>
      </w:r>
      <w:r w:rsidR="00687F3B">
        <w:rPr>
          <w:rFonts w:ascii="Times New Roman" w:hAnsi="Times New Roman"/>
        </w:rPr>
        <w:t>1</w:t>
      </w:r>
      <w:r w:rsidR="0094477F">
        <w:rPr>
          <w:rFonts w:ascii="Times New Roman" w:hAnsi="Times New Roman"/>
        </w:rPr>
        <w:t>.</w:t>
      </w:r>
      <w:r w:rsidR="00687F3B">
        <w:rPr>
          <w:rFonts w:ascii="Times New Roman" w:hAnsi="Times New Roman"/>
        </w:rPr>
        <w:t>00</w:t>
      </w:r>
      <w:r>
        <w:rPr>
          <w:rFonts w:ascii="Times New Roman" w:hAnsi="Times New Roman"/>
        </w:rPr>
        <w:t xml:space="preserve">%.  </w:t>
      </w:r>
      <w:r w:rsidR="00DC2066">
        <w:rPr>
          <w:rFonts w:ascii="Times New Roman" w:hAnsi="Times New Roman"/>
        </w:rPr>
        <w:t>This recommendation w</w:t>
      </w:r>
      <w:r>
        <w:rPr>
          <w:rFonts w:ascii="Times New Roman" w:hAnsi="Times New Roman"/>
        </w:rPr>
        <w:t>as developed by tendentiously</w:t>
      </w:r>
      <w:r w:rsidR="0094477F">
        <w:rPr>
          <w:rFonts w:ascii="Times New Roman" w:hAnsi="Times New Roman"/>
        </w:rPr>
        <w:t>,</w:t>
      </w:r>
      <w:r>
        <w:rPr>
          <w:rFonts w:ascii="Times New Roman" w:hAnsi="Times New Roman"/>
        </w:rPr>
        <w:t xml:space="preserve"> if not arbitrarily</w:t>
      </w:r>
      <w:r w:rsidR="0094477F">
        <w:rPr>
          <w:rFonts w:ascii="Times New Roman" w:hAnsi="Times New Roman"/>
        </w:rPr>
        <w:t>,</w:t>
      </w:r>
      <w:r>
        <w:rPr>
          <w:rFonts w:ascii="Times New Roman" w:hAnsi="Times New Roman"/>
        </w:rPr>
        <w:t xml:space="preserve"> disregarding two of the </w:t>
      </w:r>
      <w:r w:rsidR="0094477F">
        <w:rPr>
          <w:rFonts w:ascii="Times New Roman" w:hAnsi="Times New Roman"/>
        </w:rPr>
        <w:t xml:space="preserve">aforementioned </w:t>
      </w:r>
      <w:r>
        <w:rPr>
          <w:rFonts w:ascii="Times New Roman" w:hAnsi="Times New Roman"/>
        </w:rPr>
        <w:t xml:space="preserve">well-established ROE methodologies.  </w:t>
      </w:r>
      <w:r w:rsidR="00DC2066">
        <w:rPr>
          <w:rFonts w:ascii="Times New Roman" w:hAnsi="Times New Roman"/>
        </w:rPr>
        <w:t>It</w:t>
      </w:r>
      <w:r>
        <w:rPr>
          <w:rFonts w:ascii="Times New Roman" w:hAnsi="Times New Roman"/>
        </w:rPr>
        <w:t xml:space="preserve"> </w:t>
      </w:r>
      <w:r w:rsidR="00DC2066">
        <w:rPr>
          <w:rFonts w:ascii="Times New Roman" w:hAnsi="Times New Roman"/>
        </w:rPr>
        <w:t xml:space="preserve">is </w:t>
      </w:r>
      <w:r w:rsidR="0094477F">
        <w:rPr>
          <w:rFonts w:ascii="Times New Roman" w:hAnsi="Times New Roman"/>
        </w:rPr>
        <w:t>premi</w:t>
      </w:r>
      <w:r>
        <w:rPr>
          <w:rFonts w:ascii="Times New Roman" w:hAnsi="Times New Roman"/>
        </w:rPr>
        <w:t xml:space="preserve">sed </w:t>
      </w:r>
      <w:r w:rsidR="000B75E6">
        <w:rPr>
          <w:rFonts w:ascii="Times New Roman" w:hAnsi="Times New Roman"/>
        </w:rPr>
        <w:t xml:space="preserve">almost </w:t>
      </w:r>
      <w:r>
        <w:rPr>
          <w:rFonts w:ascii="Times New Roman" w:hAnsi="Times New Roman"/>
        </w:rPr>
        <w:t xml:space="preserve">entirely upon </w:t>
      </w:r>
      <w:r w:rsidR="00DC2066">
        <w:rPr>
          <w:rFonts w:ascii="Times New Roman" w:hAnsi="Times New Roman"/>
        </w:rPr>
        <w:t>application</w:t>
      </w:r>
      <w:r>
        <w:rPr>
          <w:rFonts w:ascii="Times New Roman" w:hAnsi="Times New Roman"/>
        </w:rPr>
        <w:t xml:space="preserve"> of the single remaining ROE </w:t>
      </w:r>
      <w:r w:rsidR="00DC2066">
        <w:rPr>
          <w:rFonts w:ascii="Times New Roman" w:hAnsi="Times New Roman"/>
        </w:rPr>
        <w:t>methodology</w:t>
      </w:r>
      <w:r>
        <w:rPr>
          <w:rFonts w:ascii="Times New Roman" w:hAnsi="Times New Roman"/>
        </w:rPr>
        <w:t xml:space="preserve">, and </w:t>
      </w:r>
      <w:r w:rsidR="00DC2066">
        <w:rPr>
          <w:rFonts w:ascii="Times New Roman" w:hAnsi="Times New Roman"/>
        </w:rPr>
        <w:t>that application is based</w:t>
      </w:r>
      <w:r>
        <w:rPr>
          <w:rFonts w:ascii="Times New Roman" w:hAnsi="Times New Roman"/>
        </w:rPr>
        <w:t xml:space="preserve"> on a long term rate of growth which defies credibility, not only </w:t>
      </w:r>
      <w:r w:rsidR="0094477F">
        <w:rPr>
          <w:rFonts w:ascii="Times New Roman" w:hAnsi="Times New Roman"/>
        </w:rPr>
        <w:t xml:space="preserve">because of its exaggerated level, but because it </w:t>
      </w:r>
      <w:r w:rsidR="00CE2ABA">
        <w:rPr>
          <w:rFonts w:ascii="Times New Roman" w:hAnsi="Times New Roman"/>
        </w:rPr>
        <w:t xml:space="preserve">has no basis except </w:t>
      </w:r>
      <w:r w:rsidR="0094477F">
        <w:rPr>
          <w:rFonts w:ascii="Times New Roman" w:hAnsi="Times New Roman"/>
        </w:rPr>
        <w:t>private</w:t>
      </w:r>
      <w:r w:rsidR="00A00627">
        <w:rPr>
          <w:rFonts w:ascii="Times New Roman" w:hAnsi="Times New Roman"/>
        </w:rPr>
        <w:t xml:space="preserve">ly-implemented </w:t>
      </w:r>
      <w:r w:rsidR="0094477F">
        <w:rPr>
          <w:rFonts w:ascii="Times New Roman" w:hAnsi="Times New Roman"/>
        </w:rPr>
        <w:t xml:space="preserve">calculation. </w:t>
      </w:r>
      <w:r w:rsidR="000B75E6">
        <w:rPr>
          <w:rFonts w:ascii="Times New Roman" w:hAnsi="Times New Roman"/>
        </w:rPr>
        <w:t xml:space="preserve"> </w:t>
      </w:r>
    </w:p>
    <w:p w:rsidR="008227DB" w:rsidRDefault="008227DB" w:rsidP="00136236">
      <w:pPr>
        <w:spacing w:line="480" w:lineRule="auto"/>
        <w:rPr>
          <w:rFonts w:ascii="Times New Roman" w:hAnsi="Times New Roman"/>
          <w:b/>
        </w:rPr>
      </w:pPr>
    </w:p>
    <w:p w:rsidR="00A00627" w:rsidRDefault="00136236" w:rsidP="00136236">
      <w:pPr>
        <w:spacing w:line="480" w:lineRule="auto"/>
        <w:rPr>
          <w:rFonts w:ascii="Times New Roman" w:hAnsi="Times New Roman"/>
          <w:b/>
        </w:rPr>
      </w:pPr>
      <w:r>
        <w:rPr>
          <w:rFonts w:ascii="Times New Roman" w:hAnsi="Times New Roman"/>
          <w:b/>
        </w:rPr>
        <w:t>2.  Interclass Revenue Allocation</w:t>
      </w:r>
    </w:p>
    <w:p w:rsidR="00324B62" w:rsidRDefault="00324B62" w:rsidP="00324B62">
      <w:pPr>
        <w:spacing w:line="480" w:lineRule="auto"/>
        <w:rPr>
          <w:rFonts w:ascii="Times New Roman" w:hAnsi="Times New Roman"/>
        </w:rPr>
      </w:pPr>
      <w:r>
        <w:rPr>
          <w:rFonts w:ascii="Times New Roman" w:hAnsi="Times New Roman"/>
        </w:rPr>
        <w:t xml:space="preserve">The Commission should order the Company to allocate any revenue increase that is granted </w:t>
      </w:r>
      <w:r w:rsidR="004A4A86">
        <w:rPr>
          <w:rFonts w:ascii="Times New Roman" w:hAnsi="Times New Roman"/>
        </w:rPr>
        <w:t>in this case</w:t>
      </w:r>
      <w:r>
        <w:rPr>
          <w:rFonts w:ascii="Times New Roman" w:hAnsi="Times New Roman"/>
        </w:rPr>
        <w:t xml:space="preserve"> among all of the rate classes on an across-the-board basis, as per the terms of a </w:t>
      </w:r>
      <w:r w:rsidRPr="002B1B4E">
        <w:rPr>
          <w:rFonts w:ascii="Times New Roman" w:hAnsi="Times New Roman"/>
        </w:rPr>
        <w:lastRenderedPageBreak/>
        <w:t>document titled</w:t>
      </w:r>
      <w:r w:rsidRPr="002B1B4E">
        <w:rPr>
          <w:rFonts w:ascii="Times New Roman" w:hAnsi="Times New Roman"/>
          <w:i/>
        </w:rPr>
        <w:t xml:space="preserve"> Non-Unanimous Stipulation and Agreement as to Class Cost of Service/Rate Design</w:t>
      </w:r>
      <w:r>
        <w:rPr>
          <w:rFonts w:ascii="Times New Roman" w:hAnsi="Times New Roman"/>
        </w:rPr>
        <w:t>,</w:t>
      </w:r>
      <w:r w:rsidRPr="002B1B4E">
        <w:rPr>
          <w:rFonts w:ascii="Times New Roman" w:hAnsi="Times New Roman"/>
        </w:rPr>
        <w:t xml:space="preserve"> </w:t>
      </w:r>
      <w:r>
        <w:rPr>
          <w:rFonts w:ascii="Times New Roman" w:hAnsi="Times New Roman"/>
        </w:rPr>
        <w:t xml:space="preserve">which </w:t>
      </w:r>
      <w:r w:rsidRPr="002B1B4E">
        <w:rPr>
          <w:rFonts w:ascii="Times New Roman" w:hAnsi="Times New Roman"/>
        </w:rPr>
        <w:t xml:space="preserve">was filed on the Commission website on February 4, 2011.  </w:t>
      </w:r>
      <w:r w:rsidR="004A4A86">
        <w:rPr>
          <w:rFonts w:ascii="Times New Roman" w:hAnsi="Times New Roman"/>
        </w:rPr>
        <w:t>DOE witness Dr. Dennis Goins</w:t>
      </w:r>
      <w:r w:rsidR="002511D3">
        <w:rPr>
          <w:rFonts w:ascii="Times New Roman" w:hAnsi="Times New Roman"/>
        </w:rPr>
        <w:t xml:space="preserve"> explained that this would be reasonable</w:t>
      </w:r>
      <w:r w:rsidR="002511D3" w:rsidRPr="002511D3">
        <w:rPr>
          <w:rFonts w:ascii="Times New Roman" w:hAnsi="Times New Roman"/>
        </w:rPr>
        <w:t xml:space="preserve"> </w:t>
      </w:r>
      <w:r w:rsidR="002511D3">
        <w:rPr>
          <w:rFonts w:ascii="Times New Roman" w:hAnsi="Times New Roman"/>
        </w:rPr>
        <w:t xml:space="preserve">partly because current economic conditions are such that no rate class should receive an above-average increase, and also </w:t>
      </w:r>
      <w:r w:rsidR="00C50FE5">
        <w:rPr>
          <w:rFonts w:ascii="Times New Roman" w:hAnsi="Times New Roman"/>
        </w:rPr>
        <w:t>because the</w:t>
      </w:r>
      <w:r w:rsidR="002511D3">
        <w:rPr>
          <w:rFonts w:ascii="Times New Roman" w:hAnsi="Times New Roman"/>
        </w:rPr>
        <w:t xml:space="preserve"> Commission has not yet decided how key cost items should be allocated among the rate classes, and in light of the fact that </w:t>
      </w:r>
      <w:r w:rsidR="000B75E6">
        <w:rPr>
          <w:rFonts w:ascii="Times New Roman" w:hAnsi="Times New Roman"/>
        </w:rPr>
        <w:t>KCPL’s</w:t>
      </w:r>
      <w:r w:rsidR="002511D3">
        <w:rPr>
          <w:rFonts w:ascii="Times New Roman" w:hAnsi="Times New Roman"/>
        </w:rPr>
        <w:t xml:space="preserve"> cost of service study is not reliable. (Goins Direct, 7)   </w:t>
      </w:r>
    </w:p>
    <w:p w:rsidR="00E321A3" w:rsidRDefault="00E321A3" w:rsidP="00324B62">
      <w:pPr>
        <w:spacing w:line="480" w:lineRule="auto"/>
        <w:rPr>
          <w:rFonts w:ascii="Times New Roman" w:hAnsi="Times New Roman"/>
        </w:rPr>
      </w:pPr>
    </w:p>
    <w:p w:rsidR="00324B62" w:rsidRPr="00324B62" w:rsidRDefault="00E321A3" w:rsidP="00012DA4">
      <w:pPr>
        <w:spacing w:line="480" w:lineRule="auto"/>
        <w:rPr>
          <w:rFonts w:ascii="Times New Roman" w:hAnsi="Times New Roman"/>
        </w:rPr>
      </w:pPr>
      <w:r w:rsidRPr="000B75E6">
        <w:rPr>
          <w:rFonts w:ascii="Times New Roman" w:hAnsi="Times New Roman"/>
        </w:rPr>
        <w:t>DOE</w:t>
      </w:r>
      <w:r w:rsidR="00F63976">
        <w:rPr>
          <w:rFonts w:ascii="Times New Roman" w:hAnsi="Times New Roman"/>
        </w:rPr>
        <w:t xml:space="preserve"> </w:t>
      </w:r>
      <w:r w:rsidR="00CE2ABA">
        <w:rPr>
          <w:rFonts w:ascii="Times New Roman" w:hAnsi="Times New Roman"/>
        </w:rPr>
        <w:t>asked</w:t>
      </w:r>
      <w:r w:rsidR="002511D3">
        <w:rPr>
          <w:rFonts w:ascii="Times New Roman" w:hAnsi="Times New Roman"/>
        </w:rPr>
        <w:t xml:space="preserve"> the Commission </w:t>
      </w:r>
      <w:r w:rsidR="00CE2ABA">
        <w:rPr>
          <w:rFonts w:ascii="Times New Roman" w:hAnsi="Times New Roman"/>
        </w:rPr>
        <w:t xml:space="preserve">to </w:t>
      </w:r>
      <w:r w:rsidR="00F63976">
        <w:rPr>
          <w:rFonts w:ascii="Times New Roman" w:hAnsi="Times New Roman"/>
        </w:rPr>
        <w:t xml:space="preserve">reject </w:t>
      </w:r>
      <w:r w:rsidR="00CE2ABA">
        <w:rPr>
          <w:rFonts w:ascii="Times New Roman" w:hAnsi="Times New Roman"/>
        </w:rPr>
        <w:t>KCPL’s</w:t>
      </w:r>
      <w:r w:rsidR="00F63976">
        <w:rPr>
          <w:rFonts w:ascii="Times New Roman" w:hAnsi="Times New Roman"/>
        </w:rPr>
        <w:t xml:space="preserve"> effort to allocate off-system sales margins</w:t>
      </w:r>
      <w:r w:rsidR="002511D3">
        <w:rPr>
          <w:rFonts w:ascii="Times New Roman" w:hAnsi="Times New Roman"/>
        </w:rPr>
        <w:t xml:space="preserve"> </w:t>
      </w:r>
      <w:r w:rsidR="00F63976">
        <w:rPr>
          <w:rFonts w:ascii="Times New Roman" w:hAnsi="Times New Roman"/>
        </w:rPr>
        <w:t xml:space="preserve">on </w:t>
      </w:r>
      <w:r w:rsidR="002511D3">
        <w:rPr>
          <w:rFonts w:ascii="Times New Roman" w:hAnsi="Times New Roman"/>
        </w:rPr>
        <w:t xml:space="preserve">a demand </w:t>
      </w:r>
      <w:r w:rsidR="00F63976">
        <w:rPr>
          <w:rFonts w:ascii="Times New Roman" w:hAnsi="Times New Roman"/>
        </w:rPr>
        <w:t>basis</w:t>
      </w:r>
      <w:r w:rsidR="002511D3">
        <w:rPr>
          <w:rFonts w:ascii="Times New Roman" w:hAnsi="Times New Roman"/>
        </w:rPr>
        <w:t>,</w:t>
      </w:r>
      <w:r w:rsidR="00F63976">
        <w:rPr>
          <w:rFonts w:ascii="Times New Roman" w:hAnsi="Times New Roman"/>
        </w:rPr>
        <w:t xml:space="preserve"> and urged </w:t>
      </w:r>
      <w:r w:rsidR="002511D3">
        <w:rPr>
          <w:rFonts w:ascii="Times New Roman" w:hAnsi="Times New Roman"/>
        </w:rPr>
        <w:t>that such revenues continue to be allocated</w:t>
      </w:r>
      <w:r w:rsidR="00F63976">
        <w:rPr>
          <w:rFonts w:ascii="Times New Roman" w:hAnsi="Times New Roman"/>
        </w:rPr>
        <w:t xml:space="preserve"> on </w:t>
      </w:r>
      <w:r w:rsidR="002511D3">
        <w:rPr>
          <w:rFonts w:ascii="Times New Roman" w:hAnsi="Times New Roman"/>
        </w:rPr>
        <w:t xml:space="preserve">an </w:t>
      </w:r>
      <w:r w:rsidR="00F63976">
        <w:rPr>
          <w:rFonts w:ascii="Times New Roman" w:hAnsi="Times New Roman"/>
        </w:rPr>
        <w:t xml:space="preserve">energy </w:t>
      </w:r>
      <w:r w:rsidR="002511D3">
        <w:rPr>
          <w:rFonts w:ascii="Times New Roman" w:hAnsi="Times New Roman"/>
        </w:rPr>
        <w:t xml:space="preserve">basis, </w:t>
      </w:r>
      <w:r w:rsidR="00F63976">
        <w:rPr>
          <w:rFonts w:ascii="Times New Roman" w:hAnsi="Times New Roman"/>
        </w:rPr>
        <w:t>as the Company has done in the past</w:t>
      </w:r>
      <w:r w:rsidR="002511D3">
        <w:rPr>
          <w:rFonts w:ascii="Times New Roman" w:hAnsi="Times New Roman"/>
        </w:rPr>
        <w:t>,</w:t>
      </w:r>
      <w:r w:rsidR="00F63976">
        <w:rPr>
          <w:rFonts w:ascii="Times New Roman" w:hAnsi="Times New Roman"/>
        </w:rPr>
        <w:t xml:space="preserve"> </w:t>
      </w:r>
      <w:r w:rsidR="00553B3F">
        <w:rPr>
          <w:rFonts w:ascii="Times New Roman" w:hAnsi="Times New Roman"/>
        </w:rPr>
        <w:t>(</w:t>
      </w:r>
      <w:r w:rsidR="00C20DA2">
        <w:rPr>
          <w:rFonts w:ascii="Times New Roman" w:hAnsi="Times New Roman"/>
        </w:rPr>
        <w:t xml:space="preserve">Goins Direct, 12 </w:t>
      </w:r>
      <w:r w:rsidR="00C20DA2">
        <w:rPr>
          <w:rFonts w:ascii="Times New Roman" w:hAnsi="Times New Roman"/>
          <w:i/>
        </w:rPr>
        <w:t xml:space="preserve">et </w:t>
      </w:r>
      <w:r w:rsidR="00C20DA2" w:rsidRPr="00C20DA2">
        <w:rPr>
          <w:rFonts w:ascii="Times New Roman" w:hAnsi="Times New Roman"/>
        </w:rPr>
        <w:t>seq</w:t>
      </w:r>
      <w:r w:rsidR="00C20DA2">
        <w:rPr>
          <w:rFonts w:ascii="Times New Roman" w:hAnsi="Times New Roman"/>
        </w:rPr>
        <w:t>.</w:t>
      </w:r>
      <w:r w:rsidR="00553B3F">
        <w:rPr>
          <w:rFonts w:ascii="Times New Roman" w:hAnsi="Times New Roman"/>
        </w:rPr>
        <w:t xml:space="preserve">) </w:t>
      </w:r>
      <w:r w:rsidR="00F63976">
        <w:rPr>
          <w:rFonts w:ascii="Times New Roman" w:hAnsi="Times New Roman"/>
        </w:rPr>
        <w:t xml:space="preserve">and as the Commission required in </w:t>
      </w:r>
      <w:r w:rsidR="00C20DA2">
        <w:rPr>
          <w:rFonts w:ascii="Times New Roman" w:hAnsi="Times New Roman"/>
        </w:rPr>
        <w:t>a</w:t>
      </w:r>
      <w:r w:rsidR="00F63976">
        <w:rPr>
          <w:rFonts w:ascii="Times New Roman" w:hAnsi="Times New Roman"/>
        </w:rPr>
        <w:t xml:space="preserve"> recent </w:t>
      </w:r>
      <w:r w:rsidR="00553B3F">
        <w:rPr>
          <w:rFonts w:ascii="Times New Roman" w:hAnsi="Times New Roman"/>
        </w:rPr>
        <w:t>case</w:t>
      </w:r>
      <w:r w:rsidR="006F4613">
        <w:rPr>
          <w:rFonts w:ascii="Times New Roman" w:hAnsi="Times New Roman"/>
        </w:rPr>
        <w:t>.</w:t>
      </w:r>
      <w:r w:rsidR="00F63976">
        <w:rPr>
          <w:rFonts w:ascii="Times New Roman" w:hAnsi="Times New Roman"/>
        </w:rPr>
        <w:t xml:space="preserve"> </w:t>
      </w:r>
      <w:r w:rsidR="00553B3F">
        <w:rPr>
          <w:rFonts w:ascii="Times New Roman" w:hAnsi="Times New Roman"/>
        </w:rPr>
        <w:t>(</w:t>
      </w:r>
      <w:r w:rsidR="00C20DA2" w:rsidRPr="000C3D42">
        <w:rPr>
          <w:rFonts w:ascii="Times New Roman" w:hAnsi="Times New Roman"/>
          <w:i/>
        </w:rPr>
        <w:t>Ameron AU</w:t>
      </w:r>
      <w:r w:rsidR="00C20DA2" w:rsidRPr="000C3D42">
        <w:rPr>
          <w:rFonts w:ascii="Times New Roman" w:hAnsi="Times New Roman"/>
        </w:rPr>
        <w:t xml:space="preserve">, MPSC Doc. No. ER-2010-0054, </w:t>
      </w:r>
      <w:r w:rsidR="00C20DA2">
        <w:rPr>
          <w:rFonts w:ascii="Times New Roman" w:hAnsi="Times New Roman"/>
        </w:rPr>
        <w:t>Commission</w:t>
      </w:r>
      <w:r w:rsidR="00C20DA2" w:rsidRPr="000C3D42">
        <w:rPr>
          <w:rFonts w:ascii="Times New Roman" w:hAnsi="Times New Roman"/>
        </w:rPr>
        <w:t xml:space="preserve">’s Report and Order, May 28, 2010, p. </w:t>
      </w:r>
      <w:r w:rsidR="00C20DA2">
        <w:rPr>
          <w:rFonts w:ascii="Times New Roman" w:hAnsi="Times New Roman"/>
        </w:rPr>
        <w:t>84</w:t>
      </w:r>
      <w:r w:rsidR="00553B3F">
        <w:rPr>
          <w:rFonts w:ascii="Times New Roman" w:hAnsi="Times New Roman"/>
        </w:rPr>
        <w:t>)</w:t>
      </w:r>
      <w:r w:rsidR="00F63976">
        <w:rPr>
          <w:rFonts w:ascii="Times New Roman" w:hAnsi="Times New Roman"/>
        </w:rPr>
        <w:t xml:space="preserve">.  The Stipulation and Agreement resolves this </w:t>
      </w:r>
      <w:r w:rsidR="001270DE">
        <w:rPr>
          <w:rFonts w:ascii="Times New Roman" w:hAnsi="Times New Roman"/>
        </w:rPr>
        <w:t xml:space="preserve">concern </w:t>
      </w:r>
      <w:r w:rsidR="00F63976">
        <w:rPr>
          <w:rFonts w:ascii="Times New Roman" w:hAnsi="Times New Roman"/>
        </w:rPr>
        <w:t xml:space="preserve">by applying an across-the-board revenue increase.  </w:t>
      </w:r>
      <w:r w:rsidR="00C50FE5">
        <w:rPr>
          <w:rFonts w:ascii="Times New Roman" w:hAnsi="Times New Roman"/>
        </w:rPr>
        <w:t xml:space="preserve">As noted above, the Department requests the Commission to adopt the equal percentage method for allocating any revenue increase granted in this case.   </w:t>
      </w:r>
    </w:p>
    <w:p w:rsidR="005B126F" w:rsidRPr="00663554" w:rsidRDefault="005B126F" w:rsidP="000C3D42">
      <w:pPr>
        <w:spacing w:line="480" w:lineRule="auto"/>
        <w:rPr>
          <w:rFonts w:ascii="Times New Roman" w:hAnsi="Times New Roman"/>
        </w:rPr>
      </w:pPr>
    </w:p>
    <w:p w:rsidR="00E321A3" w:rsidRDefault="00E321A3" w:rsidP="000C3D42">
      <w:pPr>
        <w:spacing w:line="480" w:lineRule="auto"/>
        <w:rPr>
          <w:rFonts w:ascii="Times New Roman" w:hAnsi="Times New Roman"/>
          <w:b/>
        </w:rPr>
      </w:pPr>
    </w:p>
    <w:p w:rsidR="000C3D42" w:rsidRPr="00CC620A" w:rsidRDefault="00CC620A" w:rsidP="000C3D42">
      <w:pPr>
        <w:spacing w:line="480" w:lineRule="auto"/>
        <w:rPr>
          <w:rFonts w:ascii="Times New Roman" w:hAnsi="Times New Roman"/>
          <w:b/>
          <w:u w:val="single"/>
        </w:rPr>
      </w:pPr>
      <w:r w:rsidRPr="00CC620A">
        <w:rPr>
          <w:rFonts w:ascii="Times New Roman" w:hAnsi="Times New Roman"/>
          <w:b/>
        </w:rPr>
        <w:t>II</w:t>
      </w:r>
      <w:r w:rsidR="007B5DF9">
        <w:rPr>
          <w:rFonts w:ascii="Times New Roman" w:hAnsi="Times New Roman"/>
          <w:b/>
        </w:rPr>
        <w:t>.</w:t>
      </w:r>
      <w:r w:rsidR="00747CB7">
        <w:rPr>
          <w:rFonts w:ascii="Times New Roman" w:hAnsi="Times New Roman"/>
          <w:b/>
        </w:rPr>
        <w:t xml:space="preserve">  </w:t>
      </w:r>
      <w:r w:rsidR="007B5DF9" w:rsidRPr="000B75E6">
        <w:rPr>
          <w:rFonts w:ascii="Times New Roman" w:hAnsi="Times New Roman"/>
          <w:b/>
        </w:rPr>
        <w:t>Discussion of the Issues</w:t>
      </w:r>
      <w:r w:rsidR="000C3D42" w:rsidRPr="00CC620A">
        <w:rPr>
          <w:rFonts w:ascii="Times New Roman" w:hAnsi="Times New Roman"/>
          <w:b/>
          <w:u w:val="single"/>
        </w:rPr>
        <w:t xml:space="preserve">   </w:t>
      </w:r>
    </w:p>
    <w:p w:rsidR="00663554" w:rsidRDefault="00663554" w:rsidP="009963A1">
      <w:pPr>
        <w:spacing w:line="480" w:lineRule="auto"/>
        <w:rPr>
          <w:rFonts w:ascii="Times New Roman" w:hAnsi="Times New Roman"/>
          <w:b/>
        </w:rPr>
      </w:pPr>
      <w:r>
        <w:rPr>
          <w:rFonts w:ascii="Times New Roman" w:hAnsi="Times New Roman"/>
          <w:b/>
        </w:rPr>
        <w:t>A.  R</w:t>
      </w:r>
      <w:r w:rsidR="007B5DF9">
        <w:rPr>
          <w:rFonts w:ascii="Times New Roman" w:hAnsi="Times New Roman"/>
          <w:b/>
        </w:rPr>
        <w:t>eturn on Equity</w:t>
      </w:r>
    </w:p>
    <w:p w:rsidR="00663554" w:rsidRDefault="00663554" w:rsidP="00663554">
      <w:pPr>
        <w:spacing w:line="480" w:lineRule="auto"/>
        <w:rPr>
          <w:rFonts w:ascii="Times New Roman" w:hAnsi="Times New Roman"/>
          <w:b/>
        </w:rPr>
      </w:pPr>
      <w:r>
        <w:rPr>
          <w:rFonts w:ascii="Times New Roman" w:hAnsi="Times New Roman"/>
          <w:b/>
        </w:rPr>
        <w:t>1.  Applicable Judicial and Commission Precedent</w:t>
      </w:r>
    </w:p>
    <w:p w:rsidR="00663554" w:rsidRPr="000C3D42" w:rsidRDefault="00663554" w:rsidP="00663554">
      <w:pPr>
        <w:spacing w:line="480" w:lineRule="auto"/>
        <w:rPr>
          <w:rFonts w:ascii="Times New Roman" w:hAnsi="Times New Roman"/>
        </w:rPr>
      </w:pPr>
      <w:r w:rsidRPr="000C3D42">
        <w:rPr>
          <w:rFonts w:ascii="Times New Roman" w:hAnsi="Times New Roman"/>
        </w:rPr>
        <w:t xml:space="preserve">The following discussion is premised upon fair rate of return principles established by the United States Supreme Court in </w:t>
      </w:r>
      <w:r w:rsidRPr="000C3D42">
        <w:rPr>
          <w:rFonts w:ascii="Times New Roman" w:hAnsi="Times New Roman"/>
          <w:i/>
        </w:rPr>
        <w:t>Federal Power Common. v. Hope Natural Gas Co.,</w:t>
      </w:r>
      <w:r w:rsidRPr="000C3D42">
        <w:rPr>
          <w:rFonts w:ascii="Times New Roman" w:hAnsi="Times New Roman"/>
        </w:rPr>
        <w:t xml:space="preserve"> 320 U.S. 591 (1944) </w:t>
      </w:r>
      <w:r w:rsidRPr="000C3D42">
        <w:rPr>
          <w:rFonts w:ascii="Times New Roman" w:hAnsi="Times New Roman"/>
          <w:i/>
        </w:rPr>
        <w:t>and Bluefield Water Works &amp; Improvements Co. v. P.S.C.</w:t>
      </w:r>
      <w:r w:rsidRPr="000C3D42">
        <w:rPr>
          <w:rFonts w:ascii="Times New Roman" w:hAnsi="Times New Roman"/>
        </w:rPr>
        <w:t xml:space="preserve">, 262 U.S. 679 (1923).  In line with these precedents, this </w:t>
      </w:r>
      <w:r>
        <w:rPr>
          <w:rFonts w:ascii="Times New Roman" w:hAnsi="Times New Roman"/>
        </w:rPr>
        <w:t>Commission</w:t>
      </w:r>
      <w:r w:rsidRPr="000C3D42">
        <w:rPr>
          <w:rFonts w:ascii="Times New Roman" w:hAnsi="Times New Roman"/>
        </w:rPr>
        <w:t xml:space="preserve"> has explained that its duty is to “use its judgment to establish a rate of return on equity (</w:t>
      </w:r>
      <w:r>
        <w:rPr>
          <w:rFonts w:ascii="Times New Roman" w:hAnsi="Times New Roman"/>
        </w:rPr>
        <w:t>“ROE”</w:t>
      </w:r>
      <w:r w:rsidRPr="000C3D42">
        <w:rPr>
          <w:rFonts w:ascii="Times New Roman" w:hAnsi="Times New Roman"/>
        </w:rPr>
        <w:t>) attractive enough</w:t>
      </w:r>
      <w:r>
        <w:rPr>
          <w:rFonts w:ascii="Times New Roman" w:hAnsi="Times New Roman"/>
        </w:rPr>
        <w:t>…</w:t>
      </w:r>
      <w:r w:rsidRPr="000C3D42">
        <w:rPr>
          <w:rFonts w:ascii="Times New Roman" w:hAnsi="Times New Roman"/>
        </w:rPr>
        <w:t>to allow the utility to fairly compete for the investors’ dollar</w:t>
      </w:r>
      <w:r>
        <w:rPr>
          <w:rFonts w:ascii="Times New Roman" w:hAnsi="Times New Roman"/>
        </w:rPr>
        <w:t>…</w:t>
      </w:r>
      <w:r w:rsidRPr="000C3D42">
        <w:rPr>
          <w:rFonts w:ascii="Times New Roman" w:hAnsi="Times New Roman"/>
        </w:rPr>
        <w:t xml:space="preserve">without permitting an excessive return that would drive up rates… .” </w:t>
      </w:r>
      <w:r>
        <w:rPr>
          <w:rFonts w:ascii="Times New Roman" w:hAnsi="Times New Roman"/>
        </w:rPr>
        <w:t xml:space="preserve"> </w:t>
      </w:r>
      <w:r w:rsidRPr="000C3D42">
        <w:rPr>
          <w:rFonts w:ascii="Times New Roman" w:hAnsi="Times New Roman"/>
        </w:rPr>
        <w:t xml:space="preserve">This </w:t>
      </w:r>
      <w:r>
        <w:rPr>
          <w:rFonts w:ascii="Times New Roman" w:hAnsi="Times New Roman"/>
        </w:rPr>
        <w:t>Commission</w:t>
      </w:r>
      <w:r w:rsidRPr="000C3D42">
        <w:rPr>
          <w:rFonts w:ascii="Times New Roman" w:hAnsi="Times New Roman"/>
        </w:rPr>
        <w:t xml:space="preserve"> has further explained that, in determining such a return on equity (“ROE”), its duty is to “consider the </w:t>
      </w:r>
      <w:r w:rsidRPr="000C3D42">
        <w:rPr>
          <w:rFonts w:ascii="Times New Roman" w:hAnsi="Times New Roman"/>
          <w:i/>
        </w:rPr>
        <w:t>expectations</w:t>
      </w:r>
      <w:r w:rsidRPr="000C3D42">
        <w:rPr>
          <w:rFonts w:ascii="Times New Roman" w:hAnsi="Times New Roman"/>
        </w:rPr>
        <w:t>…of investors (at the time that</w:t>
      </w:r>
      <w:r w:rsidR="008652B0" w:rsidRPr="000C3D42">
        <w:rPr>
          <w:rFonts w:ascii="Times New Roman" w:hAnsi="Times New Roman"/>
        </w:rPr>
        <w:t>) they</w:t>
      </w:r>
      <w:r w:rsidRPr="000C3D42">
        <w:rPr>
          <w:rFonts w:ascii="Times New Roman" w:hAnsi="Times New Roman"/>
        </w:rPr>
        <w:t xml:space="preserve"> choose to invest their money in (the subject utility), rather than in some other investment opportunity.” (</w:t>
      </w:r>
      <w:r w:rsidRPr="000C3D42">
        <w:rPr>
          <w:rFonts w:ascii="Times New Roman" w:hAnsi="Times New Roman"/>
          <w:i/>
        </w:rPr>
        <w:t>Ameron AU</w:t>
      </w:r>
      <w:r w:rsidRPr="000C3D42">
        <w:rPr>
          <w:rFonts w:ascii="Times New Roman" w:hAnsi="Times New Roman"/>
        </w:rPr>
        <w:t>,</w:t>
      </w:r>
      <w:r w:rsidR="00C20DA2">
        <w:rPr>
          <w:rFonts w:ascii="Times New Roman" w:hAnsi="Times New Roman"/>
          <w:i/>
        </w:rPr>
        <w:t xml:space="preserve"> supra.,</w:t>
      </w:r>
      <w:r w:rsidR="00C20DA2">
        <w:rPr>
          <w:rFonts w:ascii="Times New Roman" w:hAnsi="Times New Roman"/>
        </w:rPr>
        <w:t xml:space="preserve"> p. 14) </w:t>
      </w:r>
      <w:r w:rsidRPr="000C3D42">
        <w:rPr>
          <w:rFonts w:ascii="Times New Roman" w:hAnsi="Times New Roman"/>
        </w:rPr>
        <w:t>)</w:t>
      </w:r>
    </w:p>
    <w:p w:rsidR="00663554" w:rsidRDefault="00663554" w:rsidP="00663554">
      <w:pPr>
        <w:spacing w:line="480" w:lineRule="auto"/>
        <w:rPr>
          <w:rFonts w:ascii="Times New Roman" w:hAnsi="Times New Roman"/>
          <w:b/>
        </w:rPr>
      </w:pPr>
    </w:p>
    <w:p w:rsidR="00663554" w:rsidRPr="00CC620A" w:rsidRDefault="00663554" w:rsidP="00663554">
      <w:pPr>
        <w:spacing w:line="480" w:lineRule="auto"/>
        <w:rPr>
          <w:rFonts w:ascii="Times New Roman" w:hAnsi="Times New Roman"/>
          <w:b/>
        </w:rPr>
      </w:pPr>
      <w:r>
        <w:rPr>
          <w:rFonts w:ascii="Times New Roman" w:hAnsi="Times New Roman"/>
          <w:b/>
        </w:rPr>
        <w:t>2</w:t>
      </w:r>
      <w:r w:rsidRPr="00CC620A">
        <w:rPr>
          <w:rFonts w:ascii="Times New Roman" w:hAnsi="Times New Roman"/>
          <w:b/>
        </w:rPr>
        <w:t xml:space="preserve">. </w:t>
      </w:r>
      <w:r w:rsidRPr="00CC620A">
        <w:rPr>
          <w:rFonts w:ascii="Times New Roman" w:hAnsi="Times New Roman"/>
          <w:b/>
          <w:i/>
        </w:rPr>
        <w:t xml:space="preserve"> </w:t>
      </w:r>
      <w:r w:rsidRPr="00CC620A">
        <w:rPr>
          <w:rFonts w:ascii="Times New Roman" w:hAnsi="Times New Roman"/>
          <w:b/>
        </w:rPr>
        <w:t xml:space="preserve">The </w:t>
      </w:r>
      <w:r>
        <w:rPr>
          <w:rFonts w:ascii="Times New Roman" w:hAnsi="Times New Roman"/>
          <w:b/>
        </w:rPr>
        <w:t xml:space="preserve">ROE Expert </w:t>
      </w:r>
      <w:r w:rsidRPr="00CC620A">
        <w:rPr>
          <w:rFonts w:ascii="Times New Roman" w:hAnsi="Times New Roman"/>
          <w:b/>
        </w:rPr>
        <w:t xml:space="preserve">Witnesses   </w:t>
      </w:r>
    </w:p>
    <w:p w:rsidR="00663554" w:rsidRDefault="00663554" w:rsidP="00663554">
      <w:pPr>
        <w:spacing w:line="480" w:lineRule="auto"/>
        <w:rPr>
          <w:rFonts w:ascii="Times New Roman" w:hAnsi="Times New Roman"/>
        </w:rPr>
      </w:pPr>
      <w:r w:rsidRPr="000C3D42">
        <w:rPr>
          <w:rFonts w:ascii="Times New Roman" w:hAnsi="Times New Roman"/>
        </w:rPr>
        <w:t>To obtain guidance about the appropriate return on equity, t</w:t>
      </w:r>
      <w:r w:rsidR="00CE2ABA">
        <w:rPr>
          <w:rFonts w:ascii="Times New Roman" w:hAnsi="Times New Roman"/>
        </w:rPr>
        <w:t>he Commission</w:t>
      </w:r>
      <w:r w:rsidRPr="000C3D42">
        <w:rPr>
          <w:rFonts w:ascii="Times New Roman" w:hAnsi="Times New Roman"/>
        </w:rPr>
        <w:t xml:space="preserve"> considers the testimony of expert witnesses</w:t>
      </w:r>
      <w:r>
        <w:rPr>
          <w:rFonts w:ascii="Times New Roman" w:hAnsi="Times New Roman"/>
        </w:rPr>
        <w:t>.  Such witnesses in most cases present various versions of the methodologies</w:t>
      </w:r>
      <w:r w:rsidR="00CE2ABA">
        <w:rPr>
          <w:rFonts w:ascii="Times New Roman" w:hAnsi="Times New Roman"/>
        </w:rPr>
        <w:t xml:space="preserve"> described below</w:t>
      </w:r>
      <w:r>
        <w:rPr>
          <w:rFonts w:ascii="Times New Roman" w:hAnsi="Times New Roman"/>
        </w:rPr>
        <w:t>.</w:t>
      </w:r>
      <w:r w:rsidRPr="000C3D42">
        <w:rPr>
          <w:rFonts w:ascii="Times New Roman" w:hAnsi="Times New Roman"/>
        </w:rPr>
        <w:t xml:space="preserve">  In this present proceeding, three expert witnesses presented </w:t>
      </w:r>
      <w:r>
        <w:rPr>
          <w:rFonts w:ascii="Times New Roman" w:hAnsi="Times New Roman"/>
        </w:rPr>
        <w:t xml:space="preserve">pre-filed rate of return </w:t>
      </w:r>
      <w:r w:rsidRPr="000C3D42">
        <w:rPr>
          <w:rFonts w:ascii="Times New Roman" w:hAnsi="Times New Roman"/>
        </w:rPr>
        <w:t xml:space="preserve">testimony </w:t>
      </w:r>
      <w:r>
        <w:rPr>
          <w:rFonts w:ascii="Times New Roman" w:hAnsi="Times New Roman"/>
        </w:rPr>
        <w:t xml:space="preserve">which focus </w:t>
      </w:r>
      <w:r w:rsidRPr="000C3D42">
        <w:rPr>
          <w:rFonts w:ascii="Times New Roman" w:hAnsi="Times New Roman"/>
        </w:rPr>
        <w:t xml:space="preserve">mainly on </w:t>
      </w:r>
      <w:r>
        <w:rPr>
          <w:rFonts w:ascii="Times New Roman" w:hAnsi="Times New Roman"/>
        </w:rPr>
        <w:t>R</w:t>
      </w:r>
      <w:r w:rsidRPr="000C3D42">
        <w:rPr>
          <w:rFonts w:ascii="Times New Roman" w:hAnsi="Times New Roman"/>
        </w:rPr>
        <w:t>OE.  These witnesses are:</w:t>
      </w:r>
    </w:p>
    <w:p w:rsidR="00663554" w:rsidRDefault="00663554" w:rsidP="00663554">
      <w:pPr>
        <w:spacing w:line="480" w:lineRule="auto"/>
        <w:rPr>
          <w:rFonts w:ascii="Times New Roman" w:hAnsi="Times New Roman"/>
        </w:rPr>
      </w:pPr>
      <w:r w:rsidRPr="000C3D42">
        <w:rPr>
          <w:rFonts w:ascii="Times New Roman" w:hAnsi="Times New Roman"/>
        </w:rPr>
        <w:t>(</w:t>
      </w:r>
      <w:r>
        <w:rPr>
          <w:rFonts w:ascii="Times New Roman" w:hAnsi="Times New Roman"/>
        </w:rPr>
        <w:t>a</w:t>
      </w:r>
      <w:r w:rsidRPr="000C3D42">
        <w:rPr>
          <w:rFonts w:ascii="Times New Roman" w:hAnsi="Times New Roman"/>
        </w:rPr>
        <w:t>)</w:t>
      </w:r>
      <w:r w:rsidR="00F35AEF">
        <w:rPr>
          <w:rFonts w:ascii="Times New Roman" w:hAnsi="Times New Roman"/>
        </w:rPr>
        <w:t xml:space="preserve">  f</w:t>
      </w:r>
      <w:r w:rsidRPr="000C3D42">
        <w:rPr>
          <w:rFonts w:ascii="Times New Roman" w:hAnsi="Times New Roman"/>
        </w:rPr>
        <w:t>or  the Company</w:t>
      </w:r>
      <w:r>
        <w:rPr>
          <w:rFonts w:ascii="Times New Roman" w:hAnsi="Times New Roman"/>
        </w:rPr>
        <w:t xml:space="preserve">, Dr. </w:t>
      </w:r>
      <w:r w:rsidRPr="000C3D42">
        <w:rPr>
          <w:rFonts w:ascii="Times New Roman" w:hAnsi="Times New Roman"/>
        </w:rPr>
        <w:t>Samuel C. Hadaway</w:t>
      </w:r>
      <w:r w:rsidR="00CE2ABA">
        <w:rPr>
          <w:rFonts w:ascii="Times New Roman" w:hAnsi="Times New Roman"/>
        </w:rPr>
        <w:t xml:space="preserve"> (11%)</w:t>
      </w:r>
      <w:r w:rsidRPr="000C3D42">
        <w:rPr>
          <w:rFonts w:ascii="Times New Roman" w:hAnsi="Times New Roman"/>
        </w:rPr>
        <w:t xml:space="preserve">;  </w:t>
      </w:r>
    </w:p>
    <w:p w:rsidR="00663554" w:rsidRPr="000C3D42" w:rsidRDefault="00663554" w:rsidP="00663554">
      <w:pPr>
        <w:spacing w:line="480" w:lineRule="auto"/>
        <w:rPr>
          <w:rFonts w:ascii="Times New Roman" w:hAnsi="Times New Roman"/>
        </w:rPr>
      </w:pPr>
      <w:r w:rsidRPr="000C3D42">
        <w:rPr>
          <w:rFonts w:ascii="Times New Roman" w:hAnsi="Times New Roman"/>
        </w:rPr>
        <w:t>(</w:t>
      </w:r>
      <w:r>
        <w:rPr>
          <w:rFonts w:ascii="Times New Roman" w:hAnsi="Times New Roman"/>
        </w:rPr>
        <w:t>b</w:t>
      </w:r>
      <w:r w:rsidRPr="000C3D42">
        <w:rPr>
          <w:rFonts w:ascii="Times New Roman" w:hAnsi="Times New Roman"/>
        </w:rPr>
        <w:t>)</w:t>
      </w:r>
      <w:r w:rsidR="00F35AEF">
        <w:rPr>
          <w:rFonts w:ascii="Times New Roman" w:hAnsi="Times New Roman"/>
        </w:rPr>
        <w:t xml:space="preserve">  </w:t>
      </w:r>
      <w:r w:rsidRPr="000C3D42">
        <w:rPr>
          <w:rFonts w:ascii="Times New Roman" w:hAnsi="Times New Roman"/>
        </w:rPr>
        <w:t>for MIEU</w:t>
      </w:r>
      <w:r>
        <w:rPr>
          <w:rFonts w:ascii="Times New Roman" w:hAnsi="Times New Roman"/>
        </w:rPr>
        <w:t xml:space="preserve">, </w:t>
      </w:r>
      <w:r w:rsidRPr="000C3D42">
        <w:rPr>
          <w:rFonts w:ascii="Times New Roman" w:hAnsi="Times New Roman"/>
        </w:rPr>
        <w:t xml:space="preserve">MIEC, </w:t>
      </w:r>
      <w:r>
        <w:rPr>
          <w:rFonts w:ascii="Times New Roman" w:hAnsi="Times New Roman"/>
        </w:rPr>
        <w:t xml:space="preserve"> </w:t>
      </w:r>
      <w:r w:rsidRPr="000C3D42">
        <w:rPr>
          <w:rFonts w:ascii="Times New Roman" w:hAnsi="Times New Roman"/>
        </w:rPr>
        <w:t>and the Department, Mr. M</w:t>
      </w:r>
      <w:r>
        <w:rPr>
          <w:rFonts w:ascii="Times New Roman" w:hAnsi="Times New Roman"/>
        </w:rPr>
        <w:t>ichael Gorman</w:t>
      </w:r>
      <w:r w:rsidR="00CE2ABA">
        <w:rPr>
          <w:rFonts w:ascii="Times New Roman" w:hAnsi="Times New Roman"/>
        </w:rPr>
        <w:t xml:space="preserve"> (9.65%)</w:t>
      </w:r>
      <w:r>
        <w:rPr>
          <w:rFonts w:ascii="Times New Roman" w:hAnsi="Times New Roman"/>
        </w:rPr>
        <w:t xml:space="preserve">; </w:t>
      </w:r>
    </w:p>
    <w:p w:rsidR="00663554" w:rsidRPr="000C3D42" w:rsidRDefault="00663554" w:rsidP="00663554">
      <w:pPr>
        <w:spacing w:line="480" w:lineRule="auto"/>
        <w:rPr>
          <w:rFonts w:ascii="Times New Roman" w:hAnsi="Times New Roman"/>
        </w:rPr>
      </w:pPr>
      <w:r w:rsidRPr="000C3D42">
        <w:rPr>
          <w:rFonts w:ascii="Times New Roman" w:hAnsi="Times New Roman"/>
        </w:rPr>
        <w:t>(</w:t>
      </w:r>
      <w:r>
        <w:rPr>
          <w:rFonts w:ascii="Times New Roman" w:hAnsi="Times New Roman"/>
        </w:rPr>
        <w:t>c</w:t>
      </w:r>
      <w:r w:rsidRPr="000C3D42">
        <w:rPr>
          <w:rFonts w:ascii="Times New Roman" w:hAnsi="Times New Roman"/>
        </w:rPr>
        <w:t xml:space="preserve">) </w:t>
      </w:r>
      <w:r w:rsidR="00F35AEF">
        <w:rPr>
          <w:rFonts w:ascii="Times New Roman" w:hAnsi="Times New Roman"/>
        </w:rPr>
        <w:t xml:space="preserve"> </w:t>
      </w:r>
      <w:r w:rsidRPr="000C3D42">
        <w:rPr>
          <w:rFonts w:ascii="Times New Roman" w:hAnsi="Times New Roman"/>
        </w:rPr>
        <w:t xml:space="preserve">for the </w:t>
      </w:r>
      <w:r>
        <w:rPr>
          <w:rFonts w:ascii="Times New Roman" w:hAnsi="Times New Roman"/>
        </w:rPr>
        <w:t>Commission</w:t>
      </w:r>
      <w:r w:rsidRPr="000C3D42">
        <w:rPr>
          <w:rFonts w:ascii="Times New Roman" w:hAnsi="Times New Roman"/>
        </w:rPr>
        <w:t xml:space="preserve"> Staff, Mr. David Murray</w:t>
      </w:r>
      <w:r w:rsidR="00CE2ABA">
        <w:rPr>
          <w:rFonts w:ascii="Times New Roman" w:hAnsi="Times New Roman"/>
        </w:rPr>
        <w:t xml:space="preserve"> (8.5% - 9.5%)</w:t>
      </w:r>
      <w:r>
        <w:rPr>
          <w:rFonts w:ascii="Times New Roman" w:hAnsi="Times New Roman"/>
        </w:rPr>
        <w:t>.</w:t>
      </w:r>
    </w:p>
    <w:p w:rsidR="00CC620A" w:rsidRPr="00CC620A" w:rsidRDefault="000C3D42" w:rsidP="000C3D42">
      <w:pPr>
        <w:spacing w:line="480" w:lineRule="auto"/>
        <w:rPr>
          <w:rFonts w:ascii="Times New Roman" w:hAnsi="Times New Roman"/>
          <w:b/>
        </w:rPr>
      </w:pPr>
      <w:r w:rsidRPr="00CC620A">
        <w:rPr>
          <w:rFonts w:ascii="Times New Roman" w:hAnsi="Times New Roman"/>
          <w:b/>
        </w:rPr>
        <w:t xml:space="preserve">  </w:t>
      </w:r>
    </w:p>
    <w:p w:rsidR="009963A1" w:rsidRDefault="00663554" w:rsidP="009963A1">
      <w:pPr>
        <w:spacing w:line="480" w:lineRule="auto"/>
        <w:rPr>
          <w:rFonts w:ascii="Times New Roman" w:hAnsi="Times New Roman"/>
          <w:b/>
        </w:rPr>
      </w:pPr>
      <w:r>
        <w:rPr>
          <w:rFonts w:ascii="Times New Roman" w:hAnsi="Times New Roman"/>
          <w:b/>
        </w:rPr>
        <w:t>3</w:t>
      </w:r>
      <w:r w:rsidR="009963A1">
        <w:rPr>
          <w:rFonts w:ascii="Times New Roman" w:hAnsi="Times New Roman"/>
          <w:b/>
        </w:rPr>
        <w:t xml:space="preserve">. </w:t>
      </w:r>
      <w:r w:rsidR="007B5DF9">
        <w:rPr>
          <w:rFonts w:ascii="Times New Roman" w:hAnsi="Times New Roman"/>
          <w:b/>
        </w:rPr>
        <w:t xml:space="preserve"> </w:t>
      </w:r>
      <w:r w:rsidR="009963A1">
        <w:rPr>
          <w:rFonts w:ascii="Times New Roman" w:hAnsi="Times New Roman"/>
          <w:b/>
        </w:rPr>
        <w:t>The ROE Methodologies</w:t>
      </w:r>
    </w:p>
    <w:p w:rsidR="00DF4FAC" w:rsidRPr="00DF4FAC" w:rsidRDefault="000C3D42" w:rsidP="009963A1">
      <w:pPr>
        <w:spacing w:line="480" w:lineRule="auto"/>
        <w:rPr>
          <w:rFonts w:ascii="Times New Roman" w:hAnsi="Times New Roman"/>
        </w:rPr>
      </w:pPr>
      <w:r w:rsidRPr="000C3D42">
        <w:rPr>
          <w:rFonts w:ascii="Times New Roman" w:hAnsi="Times New Roman"/>
        </w:rPr>
        <w:t xml:space="preserve">To enable </w:t>
      </w:r>
      <w:r w:rsidR="005B126F">
        <w:rPr>
          <w:rFonts w:ascii="Times New Roman" w:hAnsi="Times New Roman"/>
        </w:rPr>
        <w:t>Kansas City Power &amp; L</w:t>
      </w:r>
      <w:r w:rsidR="009963A1">
        <w:rPr>
          <w:rFonts w:ascii="Times New Roman" w:hAnsi="Times New Roman"/>
        </w:rPr>
        <w:t>i</w:t>
      </w:r>
      <w:r w:rsidR="005B126F">
        <w:rPr>
          <w:rFonts w:ascii="Times New Roman" w:hAnsi="Times New Roman"/>
        </w:rPr>
        <w:t xml:space="preserve">ght (“KCPL,” or, “the Company”) </w:t>
      </w:r>
      <w:r w:rsidRPr="000C3D42">
        <w:rPr>
          <w:rFonts w:ascii="Times New Roman" w:hAnsi="Times New Roman"/>
        </w:rPr>
        <w:t>to attract equity capital</w:t>
      </w:r>
      <w:r w:rsidR="005B126F">
        <w:rPr>
          <w:rFonts w:ascii="Times New Roman" w:hAnsi="Times New Roman"/>
        </w:rPr>
        <w:t xml:space="preserve">, </w:t>
      </w:r>
      <w:r w:rsidRPr="000C3D42">
        <w:rPr>
          <w:rFonts w:ascii="Times New Roman" w:hAnsi="Times New Roman"/>
        </w:rPr>
        <w:t xml:space="preserve">the </w:t>
      </w:r>
      <w:r w:rsidR="00054D30">
        <w:rPr>
          <w:rFonts w:ascii="Times New Roman" w:hAnsi="Times New Roman"/>
        </w:rPr>
        <w:t>Commission</w:t>
      </w:r>
      <w:r w:rsidRPr="000C3D42">
        <w:rPr>
          <w:rFonts w:ascii="Times New Roman" w:hAnsi="Times New Roman"/>
        </w:rPr>
        <w:t xml:space="preserve"> must develop and permit an ROE level that can reasonably be depended upon to incent present stockholders to retain, and/or prospective investors invest in (purchase),  the </w:t>
      </w:r>
      <w:r w:rsidR="005B126F">
        <w:rPr>
          <w:rFonts w:ascii="Times New Roman" w:hAnsi="Times New Roman"/>
        </w:rPr>
        <w:t xml:space="preserve">Company’s </w:t>
      </w:r>
      <w:r w:rsidRPr="000C3D42">
        <w:rPr>
          <w:rFonts w:ascii="Times New Roman" w:hAnsi="Times New Roman"/>
        </w:rPr>
        <w:t>common stock.  In order to de</w:t>
      </w:r>
      <w:r w:rsidR="005B126F">
        <w:rPr>
          <w:rFonts w:ascii="Times New Roman" w:hAnsi="Times New Roman"/>
        </w:rPr>
        <w:t>velop</w:t>
      </w:r>
      <w:r w:rsidRPr="000C3D42">
        <w:rPr>
          <w:rFonts w:ascii="Times New Roman" w:hAnsi="Times New Roman"/>
        </w:rPr>
        <w:t xml:space="preserve"> such an ROE level, the </w:t>
      </w:r>
      <w:r w:rsidR="00054D30">
        <w:rPr>
          <w:rFonts w:ascii="Times New Roman" w:hAnsi="Times New Roman"/>
        </w:rPr>
        <w:t>Commission</w:t>
      </w:r>
      <w:r w:rsidRPr="000C3D42">
        <w:rPr>
          <w:rFonts w:ascii="Times New Roman" w:hAnsi="Times New Roman"/>
        </w:rPr>
        <w:t xml:space="preserve"> must determine at least the approximate percentage ROE that </w:t>
      </w:r>
      <w:r w:rsidR="005B126F">
        <w:rPr>
          <w:rFonts w:ascii="Times New Roman" w:hAnsi="Times New Roman"/>
        </w:rPr>
        <w:t xml:space="preserve">extant and </w:t>
      </w:r>
      <w:r w:rsidRPr="000C3D42">
        <w:rPr>
          <w:rFonts w:ascii="Times New Roman" w:hAnsi="Times New Roman"/>
        </w:rPr>
        <w:t xml:space="preserve">potential shareholders require </w:t>
      </w:r>
      <w:r w:rsidRPr="000C3D42">
        <w:rPr>
          <w:rFonts w:ascii="Times New Roman" w:hAnsi="Times New Roman"/>
          <w:i/>
        </w:rPr>
        <w:t xml:space="preserve">at this time </w:t>
      </w:r>
      <w:r w:rsidRPr="000C3D42">
        <w:rPr>
          <w:rFonts w:ascii="Times New Roman" w:hAnsi="Times New Roman"/>
        </w:rPr>
        <w:t>to invest in or retain that common stock.   It is not possible for any individual or group, no matter how knowledgeable, sophisticated</w:t>
      </w:r>
      <w:r w:rsidR="005B126F">
        <w:rPr>
          <w:rFonts w:ascii="Times New Roman" w:hAnsi="Times New Roman"/>
        </w:rPr>
        <w:t>,</w:t>
      </w:r>
      <w:r w:rsidRPr="000C3D42">
        <w:rPr>
          <w:rFonts w:ascii="Times New Roman" w:hAnsi="Times New Roman"/>
        </w:rPr>
        <w:t xml:space="preserve"> or sedulous, to determine such a ROE level in any direct manner</w:t>
      </w:r>
      <w:r w:rsidR="00CC620A">
        <w:rPr>
          <w:rFonts w:ascii="Times New Roman" w:hAnsi="Times New Roman"/>
        </w:rPr>
        <w:t xml:space="preserve">.  </w:t>
      </w:r>
      <w:r w:rsidRPr="000C3D42">
        <w:rPr>
          <w:rFonts w:ascii="Times New Roman" w:hAnsi="Times New Roman"/>
        </w:rPr>
        <w:t xml:space="preserve"> For this reason, several </w:t>
      </w:r>
      <w:r w:rsidR="005B126F">
        <w:rPr>
          <w:rFonts w:ascii="Times New Roman" w:hAnsi="Times New Roman"/>
        </w:rPr>
        <w:t xml:space="preserve">more or less standardized </w:t>
      </w:r>
      <w:r w:rsidRPr="000C3D42">
        <w:rPr>
          <w:rFonts w:ascii="Times New Roman" w:hAnsi="Times New Roman"/>
        </w:rPr>
        <w:t xml:space="preserve">methodologies for indirectly determining ROE have been </w:t>
      </w:r>
      <w:r w:rsidR="005B126F">
        <w:rPr>
          <w:rFonts w:ascii="Times New Roman" w:hAnsi="Times New Roman"/>
        </w:rPr>
        <w:t>develope</w:t>
      </w:r>
      <w:r w:rsidRPr="000C3D42">
        <w:rPr>
          <w:rFonts w:ascii="Times New Roman" w:hAnsi="Times New Roman"/>
        </w:rPr>
        <w:t>d and have gained currency</w:t>
      </w:r>
      <w:r w:rsidR="005B126F">
        <w:rPr>
          <w:rFonts w:ascii="Times New Roman" w:hAnsi="Times New Roman"/>
        </w:rPr>
        <w:t xml:space="preserve"> before this tribunal and many other State-level public utility regulatory entities</w:t>
      </w:r>
      <w:r w:rsidRPr="000C3D42">
        <w:rPr>
          <w:rFonts w:ascii="Times New Roman" w:hAnsi="Times New Roman"/>
        </w:rPr>
        <w:t xml:space="preserve">.  </w:t>
      </w:r>
      <w:r w:rsidR="005B126F">
        <w:rPr>
          <w:rFonts w:ascii="Times New Roman" w:hAnsi="Times New Roman"/>
        </w:rPr>
        <w:t xml:space="preserve">The three </w:t>
      </w:r>
      <w:r w:rsidR="00DF4FAC">
        <w:rPr>
          <w:rFonts w:ascii="Times New Roman" w:hAnsi="Times New Roman"/>
        </w:rPr>
        <w:t xml:space="preserve">such </w:t>
      </w:r>
      <w:r w:rsidR="005B126F">
        <w:rPr>
          <w:rFonts w:ascii="Times New Roman" w:hAnsi="Times New Roman"/>
        </w:rPr>
        <w:t>methodolog</w:t>
      </w:r>
      <w:r w:rsidR="00DF4FAC">
        <w:rPr>
          <w:rFonts w:ascii="Times New Roman" w:hAnsi="Times New Roman"/>
        </w:rPr>
        <w:t>ies</w:t>
      </w:r>
      <w:r w:rsidR="005B126F">
        <w:rPr>
          <w:rFonts w:ascii="Times New Roman" w:hAnsi="Times New Roman"/>
        </w:rPr>
        <w:t xml:space="preserve"> </w:t>
      </w:r>
      <w:r w:rsidR="00DF4FAC">
        <w:rPr>
          <w:rFonts w:ascii="Times New Roman" w:hAnsi="Times New Roman"/>
        </w:rPr>
        <w:t xml:space="preserve">that are generally-used </w:t>
      </w:r>
      <w:r w:rsidR="005B126F">
        <w:rPr>
          <w:rFonts w:ascii="Times New Roman" w:hAnsi="Times New Roman"/>
        </w:rPr>
        <w:t xml:space="preserve">before this </w:t>
      </w:r>
      <w:r w:rsidR="00054D30">
        <w:rPr>
          <w:rFonts w:ascii="Times New Roman" w:hAnsi="Times New Roman"/>
        </w:rPr>
        <w:t>Commission</w:t>
      </w:r>
      <w:r w:rsidR="00DF4FAC">
        <w:rPr>
          <w:rFonts w:ascii="Times New Roman" w:hAnsi="Times New Roman"/>
        </w:rPr>
        <w:t xml:space="preserve"> are </w:t>
      </w:r>
      <w:r w:rsidR="005B126F">
        <w:rPr>
          <w:rFonts w:ascii="Times New Roman" w:hAnsi="Times New Roman"/>
        </w:rPr>
        <w:t>Discounted Cash Flow (“DCF”), Risk Premium Analysis, and the Capital Asset Price Model (“CAPM”)</w:t>
      </w:r>
      <w:r w:rsidR="00D94C45">
        <w:rPr>
          <w:rFonts w:ascii="Times New Roman" w:hAnsi="Times New Roman"/>
        </w:rPr>
        <w:t>.</w:t>
      </w:r>
      <w:r w:rsidR="005B126F">
        <w:rPr>
          <w:rFonts w:ascii="Times New Roman" w:hAnsi="Times New Roman"/>
        </w:rPr>
        <w:t xml:space="preserve"> </w:t>
      </w:r>
      <w:r w:rsidRPr="000C3D42">
        <w:rPr>
          <w:rFonts w:ascii="Times New Roman" w:hAnsi="Times New Roman"/>
        </w:rPr>
        <w:t xml:space="preserve">    </w:t>
      </w:r>
    </w:p>
    <w:p w:rsidR="00DF4FAC" w:rsidRDefault="00DF4FAC" w:rsidP="000C3D42">
      <w:pPr>
        <w:spacing w:line="480" w:lineRule="auto"/>
        <w:rPr>
          <w:rFonts w:ascii="Times New Roman" w:hAnsi="Times New Roman"/>
          <w:b/>
        </w:rPr>
      </w:pPr>
    </w:p>
    <w:p w:rsidR="000C3D42" w:rsidRPr="0080608D" w:rsidRDefault="00663554" w:rsidP="000C3D42">
      <w:pPr>
        <w:spacing w:line="480" w:lineRule="auto"/>
        <w:rPr>
          <w:rFonts w:ascii="Times New Roman" w:hAnsi="Times New Roman"/>
          <w:b/>
        </w:rPr>
      </w:pPr>
      <w:r>
        <w:rPr>
          <w:rFonts w:ascii="Times New Roman" w:hAnsi="Times New Roman"/>
          <w:b/>
        </w:rPr>
        <w:t>4</w:t>
      </w:r>
      <w:r w:rsidR="000C3D42" w:rsidRPr="0080608D">
        <w:rPr>
          <w:rFonts w:ascii="Times New Roman" w:hAnsi="Times New Roman"/>
          <w:b/>
        </w:rPr>
        <w:t xml:space="preserve">.  </w:t>
      </w:r>
      <w:r w:rsidR="00DF4FAC">
        <w:rPr>
          <w:rFonts w:ascii="Times New Roman" w:hAnsi="Times New Roman"/>
          <w:b/>
        </w:rPr>
        <w:t xml:space="preserve">The </w:t>
      </w:r>
      <w:r w:rsidR="009963A1">
        <w:rPr>
          <w:rFonts w:ascii="Times New Roman" w:hAnsi="Times New Roman"/>
          <w:b/>
        </w:rPr>
        <w:t xml:space="preserve">Witnesses’ </w:t>
      </w:r>
      <w:r w:rsidR="000C3D42" w:rsidRPr="0080608D">
        <w:rPr>
          <w:rFonts w:ascii="Times New Roman" w:hAnsi="Times New Roman"/>
          <w:b/>
        </w:rPr>
        <w:t>D</w:t>
      </w:r>
      <w:r w:rsidR="009963A1">
        <w:rPr>
          <w:rFonts w:ascii="Times New Roman" w:hAnsi="Times New Roman"/>
          <w:b/>
        </w:rPr>
        <w:t xml:space="preserve">CF-Based ROE Analyses and Recommendations </w:t>
      </w:r>
      <w:r w:rsidR="000C3D42" w:rsidRPr="0080608D">
        <w:rPr>
          <w:rFonts w:ascii="Times New Roman" w:hAnsi="Times New Roman"/>
          <w:b/>
        </w:rPr>
        <w:t xml:space="preserve"> </w:t>
      </w:r>
    </w:p>
    <w:p w:rsidR="0080608D" w:rsidRPr="009963A1" w:rsidRDefault="00663554" w:rsidP="000C3D42">
      <w:pPr>
        <w:spacing w:line="480" w:lineRule="auto"/>
        <w:rPr>
          <w:rFonts w:ascii="Times New Roman" w:hAnsi="Times New Roman"/>
          <w:b/>
        </w:rPr>
      </w:pPr>
      <w:r>
        <w:rPr>
          <w:rFonts w:ascii="Times New Roman" w:hAnsi="Times New Roman"/>
          <w:b/>
        </w:rPr>
        <w:t>a</w:t>
      </w:r>
      <w:r w:rsidR="000C3D42" w:rsidRPr="009963A1">
        <w:rPr>
          <w:rFonts w:ascii="Times New Roman" w:hAnsi="Times New Roman"/>
          <w:b/>
        </w:rPr>
        <w:t xml:space="preserve">. </w:t>
      </w:r>
      <w:r w:rsidR="007B5DF9">
        <w:rPr>
          <w:rFonts w:ascii="Times New Roman" w:hAnsi="Times New Roman"/>
          <w:b/>
        </w:rPr>
        <w:t xml:space="preserve"> T</w:t>
      </w:r>
      <w:r w:rsidR="000C3D42" w:rsidRPr="009963A1">
        <w:rPr>
          <w:rFonts w:ascii="Times New Roman" w:hAnsi="Times New Roman"/>
          <w:b/>
        </w:rPr>
        <w:t xml:space="preserve">he DCF Methodology   </w:t>
      </w:r>
    </w:p>
    <w:p w:rsidR="000C3D42" w:rsidRPr="000C3D42" w:rsidRDefault="009963A1" w:rsidP="009963A1">
      <w:pPr>
        <w:spacing w:line="480" w:lineRule="auto"/>
        <w:rPr>
          <w:rFonts w:ascii="Times New Roman" w:hAnsi="Times New Roman"/>
        </w:rPr>
      </w:pPr>
      <w:r>
        <w:rPr>
          <w:rFonts w:ascii="Times New Roman" w:hAnsi="Times New Roman"/>
        </w:rPr>
        <w:t>A</w:t>
      </w:r>
      <w:r w:rsidRPr="000C3D42">
        <w:rPr>
          <w:rFonts w:ascii="Times New Roman" w:hAnsi="Times New Roman"/>
        </w:rPr>
        <w:t xml:space="preserve">ll of the ROE witnesses </w:t>
      </w:r>
      <w:r>
        <w:rPr>
          <w:rFonts w:ascii="Times New Roman" w:hAnsi="Times New Roman"/>
        </w:rPr>
        <w:t>implemented t</w:t>
      </w:r>
      <w:r w:rsidR="000C3D42" w:rsidRPr="000C3D42">
        <w:rPr>
          <w:rFonts w:ascii="Times New Roman" w:hAnsi="Times New Roman"/>
        </w:rPr>
        <w:t>he DCF methodology</w:t>
      </w:r>
      <w:r w:rsidR="00DF4FAC">
        <w:rPr>
          <w:rFonts w:ascii="Times New Roman" w:hAnsi="Times New Roman"/>
        </w:rPr>
        <w:t xml:space="preserve"> </w:t>
      </w:r>
      <w:r>
        <w:rPr>
          <w:rFonts w:ascii="Times New Roman" w:hAnsi="Times New Roman"/>
        </w:rPr>
        <w:t>as follows</w:t>
      </w:r>
      <w:r w:rsidR="000C3D42" w:rsidRPr="000C3D42">
        <w:rPr>
          <w:rFonts w:ascii="Times New Roman" w:hAnsi="Times New Roman"/>
        </w:rPr>
        <w:t xml:space="preserve">:  </w:t>
      </w:r>
    </w:p>
    <w:p w:rsidR="00DF4FAC" w:rsidRDefault="00DF4FAC" w:rsidP="000C3D42">
      <w:pPr>
        <w:spacing w:line="480" w:lineRule="auto"/>
        <w:rPr>
          <w:rFonts w:ascii="Times New Roman" w:hAnsi="Times New Roman"/>
        </w:rPr>
      </w:pPr>
      <w:r>
        <w:rPr>
          <w:rFonts w:ascii="Times New Roman" w:hAnsi="Times New Roman"/>
        </w:rPr>
        <w:t>Begin by assuming</w:t>
      </w:r>
      <w:r w:rsidR="000C3D42" w:rsidRPr="000C3D42">
        <w:rPr>
          <w:rFonts w:ascii="Times New Roman" w:hAnsi="Times New Roman"/>
        </w:rPr>
        <w:t xml:space="preserve"> that an investor who </w:t>
      </w:r>
      <w:r>
        <w:rPr>
          <w:rFonts w:ascii="Times New Roman" w:hAnsi="Times New Roman"/>
        </w:rPr>
        <w:t xml:space="preserve">purchases a share of KCPL common stock </w:t>
      </w:r>
      <w:r w:rsidR="000C3D42" w:rsidRPr="000C3D42">
        <w:rPr>
          <w:rFonts w:ascii="Times New Roman" w:hAnsi="Times New Roman"/>
        </w:rPr>
        <w:t xml:space="preserve">does so on the assumption that </w:t>
      </w:r>
      <w:r w:rsidRPr="00DF4FAC">
        <w:rPr>
          <w:rFonts w:ascii="Times New Roman" w:hAnsi="Times New Roman"/>
          <w:i/>
        </w:rPr>
        <w:t>the dollar amount of</w:t>
      </w:r>
      <w:r>
        <w:rPr>
          <w:rFonts w:ascii="Times New Roman" w:hAnsi="Times New Roman"/>
        </w:rPr>
        <w:t xml:space="preserve"> </w:t>
      </w:r>
      <w:r w:rsidR="000C3D42" w:rsidRPr="000C3D42">
        <w:rPr>
          <w:rFonts w:ascii="Times New Roman" w:hAnsi="Times New Roman"/>
          <w:i/>
        </w:rPr>
        <w:t>that present</w:t>
      </w:r>
      <w:r>
        <w:rPr>
          <w:rFonts w:ascii="Times New Roman" w:hAnsi="Times New Roman"/>
          <w:i/>
        </w:rPr>
        <w:t xml:space="preserve"> </w:t>
      </w:r>
      <w:r w:rsidR="000C3D42" w:rsidRPr="000C3D42">
        <w:rPr>
          <w:rFonts w:ascii="Times New Roman" w:hAnsi="Times New Roman"/>
          <w:i/>
        </w:rPr>
        <w:t>price</w:t>
      </w:r>
      <w:r>
        <w:rPr>
          <w:rFonts w:ascii="Times New Roman" w:hAnsi="Times New Roman"/>
          <w:i/>
        </w:rPr>
        <w:t xml:space="preserve"> he pays</w:t>
      </w:r>
      <w:r w:rsidR="000C3D42" w:rsidRPr="000C3D42">
        <w:rPr>
          <w:rFonts w:ascii="Times New Roman" w:hAnsi="Times New Roman"/>
          <w:i/>
        </w:rPr>
        <w:t xml:space="preserve"> is equal to the present value, the sum, of all of the return, in the form of dividends</w:t>
      </w:r>
      <w:r>
        <w:rPr>
          <w:rFonts w:ascii="Times New Roman" w:hAnsi="Times New Roman"/>
          <w:i/>
        </w:rPr>
        <w:t xml:space="preserve"> </w:t>
      </w:r>
      <w:r w:rsidR="000C3D42" w:rsidRPr="000C3D42">
        <w:rPr>
          <w:rFonts w:ascii="Times New Roman" w:hAnsi="Times New Roman"/>
          <w:i/>
        </w:rPr>
        <w:t xml:space="preserve">and/or capital </w:t>
      </w:r>
      <w:r w:rsidR="008652B0" w:rsidRPr="000C3D42">
        <w:rPr>
          <w:rFonts w:ascii="Times New Roman" w:hAnsi="Times New Roman"/>
          <w:i/>
        </w:rPr>
        <w:t>appreciation that</w:t>
      </w:r>
      <w:r>
        <w:rPr>
          <w:rFonts w:ascii="Times New Roman" w:hAnsi="Times New Roman"/>
          <w:i/>
        </w:rPr>
        <w:t xml:space="preserve"> </w:t>
      </w:r>
      <w:r w:rsidR="000C3D42" w:rsidRPr="000C3D42">
        <w:rPr>
          <w:rFonts w:ascii="Times New Roman" w:hAnsi="Times New Roman"/>
          <w:i/>
        </w:rPr>
        <w:t>the investor expects to receive.</w:t>
      </w:r>
      <w:r w:rsidR="000C3D42" w:rsidRPr="000C3D42">
        <w:rPr>
          <w:rFonts w:ascii="Times New Roman" w:hAnsi="Times New Roman"/>
        </w:rPr>
        <w:t xml:space="preserve">  </w:t>
      </w:r>
      <w:r w:rsidR="009963A1">
        <w:rPr>
          <w:rFonts w:ascii="Times New Roman" w:hAnsi="Times New Roman"/>
        </w:rPr>
        <w:t xml:space="preserve"> Proceeding from this assumption:</w:t>
      </w:r>
    </w:p>
    <w:p w:rsidR="000C3D42" w:rsidRPr="000C3D42" w:rsidRDefault="006B3934" w:rsidP="000C3D42">
      <w:pPr>
        <w:spacing w:line="480" w:lineRule="auto"/>
        <w:rPr>
          <w:rFonts w:ascii="Times New Roman" w:hAnsi="Times New Roman"/>
        </w:rPr>
      </w:pPr>
      <w:r>
        <w:rPr>
          <w:rFonts w:ascii="Times New Roman" w:hAnsi="Times New Roman"/>
        </w:rPr>
        <w:t xml:space="preserve">     </w:t>
      </w:r>
      <w:r w:rsidR="007B5DF9">
        <w:rPr>
          <w:rFonts w:ascii="Times New Roman" w:hAnsi="Times New Roman"/>
        </w:rPr>
        <w:t xml:space="preserve">    </w:t>
      </w:r>
      <w:r w:rsidR="00663554">
        <w:rPr>
          <w:rFonts w:ascii="Times New Roman" w:hAnsi="Times New Roman"/>
        </w:rPr>
        <w:t>i</w:t>
      </w:r>
      <w:r w:rsidR="000C3D42" w:rsidRPr="000C3D42">
        <w:rPr>
          <w:rFonts w:ascii="Times New Roman" w:hAnsi="Times New Roman"/>
        </w:rPr>
        <w:t xml:space="preserve">. </w:t>
      </w:r>
      <w:r w:rsidR="00DF4FAC">
        <w:rPr>
          <w:rFonts w:ascii="Times New Roman" w:hAnsi="Times New Roman"/>
        </w:rPr>
        <w:t>d</w:t>
      </w:r>
      <w:r w:rsidR="000C3D42" w:rsidRPr="000C3D42">
        <w:rPr>
          <w:rFonts w:ascii="Times New Roman" w:hAnsi="Times New Roman"/>
        </w:rPr>
        <w:t>etermine the present price of the stock;</w:t>
      </w:r>
    </w:p>
    <w:p w:rsidR="000C3D42" w:rsidRPr="000C3D42" w:rsidRDefault="007B5DF9" w:rsidP="000C3D42">
      <w:pPr>
        <w:spacing w:line="480" w:lineRule="auto"/>
        <w:rPr>
          <w:rFonts w:ascii="Times New Roman" w:hAnsi="Times New Roman"/>
        </w:rPr>
      </w:pPr>
      <w:r>
        <w:rPr>
          <w:rFonts w:ascii="Times New Roman" w:hAnsi="Times New Roman"/>
        </w:rPr>
        <w:t xml:space="preserve">   </w:t>
      </w:r>
      <w:r w:rsidR="006B3934">
        <w:rPr>
          <w:rFonts w:ascii="Times New Roman" w:hAnsi="Times New Roman"/>
        </w:rPr>
        <w:t xml:space="preserve">    </w:t>
      </w:r>
      <w:r>
        <w:rPr>
          <w:rFonts w:ascii="Times New Roman" w:hAnsi="Times New Roman"/>
        </w:rPr>
        <w:t xml:space="preserve"> </w:t>
      </w:r>
      <w:r w:rsidR="00663554">
        <w:rPr>
          <w:rFonts w:ascii="Times New Roman" w:hAnsi="Times New Roman"/>
        </w:rPr>
        <w:t>ii</w:t>
      </w:r>
      <w:r w:rsidR="000C3D42" w:rsidRPr="000C3D42">
        <w:rPr>
          <w:rFonts w:ascii="Times New Roman" w:hAnsi="Times New Roman"/>
        </w:rPr>
        <w:t>.</w:t>
      </w:r>
      <w:r w:rsidR="006B3934">
        <w:rPr>
          <w:rFonts w:ascii="Times New Roman" w:hAnsi="Times New Roman"/>
        </w:rPr>
        <w:t xml:space="preserve"> </w:t>
      </w:r>
      <w:r w:rsidR="00DF4FAC">
        <w:rPr>
          <w:rFonts w:ascii="Times New Roman" w:hAnsi="Times New Roman"/>
        </w:rPr>
        <w:t>c</w:t>
      </w:r>
      <w:r w:rsidR="000C3D42" w:rsidRPr="000C3D42">
        <w:rPr>
          <w:rFonts w:ascii="Times New Roman" w:hAnsi="Times New Roman"/>
        </w:rPr>
        <w:t xml:space="preserve">alculate the </w:t>
      </w:r>
      <w:r w:rsidR="000C3D42" w:rsidRPr="000C3D42">
        <w:rPr>
          <w:rFonts w:ascii="Times New Roman" w:hAnsi="Times New Roman"/>
          <w:i/>
        </w:rPr>
        <w:t xml:space="preserve">present value </w:t>
      </w:r>
      <w:r w:rsidR="000C3D42" w:rsidRPr="000C3D42">
        <w:rPr>
          <w:rFonts w:ascii="Times New Roman" w:hAnsi="Times New Roman"/>
        </w:rPr>
        <w:t>of the sum of all of the anticipated future dividends and appreciation</w:t>
      </w:r>
      <w:r w:rsidR="00DF4FAC">
        <w:rPr>
          <w:rFonts w:ascii="Times New Roman" w:hAnsi="Times New Roman"/>
        </w:rPr>
        <w:t xml:space="preserve"> that the investor expects to receive</w:t>
      </w:r>
      <w:r w:rsidR="000C3D42" w:rsidRPr="000C3D42">
        <w:rPr>
          <w:rFonts w:ascii="Times New Roman" w:hAnsi="Times New Roman"/>
        </w:rPr>
        <w:t xml:space="preserve">.  To </w:t>
      </w:r>
      <w:r w:rsidR="00DF4FAC">
        <w:rPr>
          <w:rFonts w:ascii="Times New Roman" w:hAnsi="Times New Roman"/>
        </w:rPr>
        <w:t xml:space="preserve">calculate this present value, </w:t>
      </w:r>
      <w:r w:rsidR="000C3D42" w:rsidRPr="000C3D42">
        <w:rPr>
          <w:rFonts w:ascii="Times New Roman" w:hAnsi="Times New Roman"/>
        </w:rPr>
        <w:t>assume that the purchaser/shareholder will own the stock in perpetuity and never sell it.  In line with th</w:t>
      </w:r>
      <w:r w:rsidR="00DF4FAC">
        <w:rPr>
          <w:rFonts w:ascii="Times New Roman" w:hAnsi="Times New Roman"/>
        </w:rPr>
        <w:t>at</w:t>
      </w:r>
      <w:r w:rsidR="000C3D42" w:rsidRPr="000C3D42">
        <w:rPr>
          <w:rFonts w:ascii="Times New Roman" w:hAnsi="Times New Roman"/>
        </w:rPr>
        <w:t xml:space="preserve">, </w:t>
      </w:r>
      <w:r w:rsidR="00DF4FAC">
        <w:rPr>
          <w:rFonts w:ascii="Times New Roman" w:hAnsi="Times New Roman"/>
        </w:rPr>
        <w:t xml:space="preserve">further </w:t>
      </w:r>
      <w:r w:rsidR="000C3D42" w:rsidRPr="000C3D42">
        <w:rPr>
          <w:rFonts w:ascii="Times New Roman" w:hAnsi="Times New Roman"/>
        </w:rPr>
        <w:t xml:space="preserve">assume, first that </w:t>
      </w:r>
      <w:r w:rsidR="00DF4FAC">
        <w:rPr>
          <w:rFonts w:ascii="Times New Roman" w:hAnsi="Times New Roman"/>
        </w:rPr>
        <w:t xml:space="preserve">the investor </w:t>
      </w:r>
      <w:r w:rsidR="000C3D42" w:rsidRPr="000C3D42">
        <w:rPr>
          <w:rFonts w:ascii="Times New Roman" w:hAnsi="Times New Roman"/>
        </w:rPr>
        <w:t xml:space="preserve">will receive all future returns in the form of dividends, and, second, that those dividends will continue to flow to the </w:t>
      </w:r>
      <w:r w:rsidR="00DF4FAC">
        <w:rPr>
          <w:rFonts w:ascii="Times New Roman" w:hAnsi="Times New Roman"/>
        </w:rPr>
        <w:t>investor</w:t>
      </w:r>
      <w:r w:rsidR="000C3D42" w:rsidRPr="000C3D42">
        <w:rPr>
          <w:rFonts w:ascii="Times New Roman" w:hAnsi="Times New Roman"/>
        </w:rPr>
        <w:t xml:space="preserve"> perpetually, and forever.</w:t>
      </w:r>
    </w:p>
    <w:p w:rsidR="00F35AEF" w:rsidRDefault="00F35AEF" w:rsidP="00F35AEF">
      <w:pPr>
        <w:spacing w:line="480" w:lineRule="auto"/>
        <w:rPr>
          <w:rFonts w:ascii="Times New Roman" w:hAnsi="Times New Roman"/>
        </w:rPr>
      </w:pPr>
    </w:p>
    <w:p w:rsidR="000C3D42" w:rsidRPr="000C3D42" w:rsidRDefault="000C3D42" w:rsidP="00F35AEF">
      <w:pPr>
        <w:spacing w:line="480" w:lineRule="auto"/>
        <w:rPr>
          <w:rFonts w:ascii="Times New Roman" w:hAnsi="Times New Roman"/>
        </w:rPr>
      </w:pPr>
      <w:r w:rsidRPr="000C3D42">
        <w:rPr>
          <w:rFonts w:ascii="Times New Roman" w:hAnsi="Times New Roman"/>
        </w:rPr>
        <w:t xml:space="preserve">Now, we are operating upon the assumption that </w:t>
      </w:r>
      <w:r w:rsidRPr="00FE3DDC">
        <w:rPr>
          <w:rFonts w:ascii="Times New Roman" w:hAnsi="Times New Roman"/>
          <w:i/>
        </w:rPr>
        <w:t xml:space="preserve">the present </w:t>
      </w:r>
      <w:r w:rsidR="00FE3DDC" w:rsidRPr="00FE3DDC">
        <w:rPr>
          <w:rFonts w:ascii="Times New Roman" w:hAnsi="Times New Roman"/>
          <w:i/>
        </w:rPr>
        <w:t xml:space="preserve">dollar </w:t>
      </w:r>
      <w:r w:rsidRPr="00FE3DDC">
        <w:rPr>
          <w:rFonts w:ascii="Times New Roman" w:hAnsi="Times New Roman"/>
          <w:i/>
        </w:rPr>
        <w:t>price of the stock</w:t>
      </w:r>
      <w:r w:rsidRPr="000C3D42">
        <w:rPr>
          <w:rFonts w:ascii="Times New Roman" w:hAnsi="Times New Roman"/>
        </w:rPr>
        <w:t xml:space="preserve"> </w:t>
      </w:r>
      <w:r w:rsidR="00FE3DDC">
        <w:rPr>
          <w:rFonts w:ascii="Times New Roman" w:hAnsi="Times New Roman"/>
        </w:rPr>
        <w:t xml:space="preserve">is </w:t>
      </w:r>
      <w:r w:rsidRPr="000C3D42">
        <w:rPr>
          <w:rFonts w:ascii="Times New Roman" w:hAnsi="Times New Roman"/>
        </w:rPr>
        <w:t>equal</w:t>
      </w:r>
      <w:r w:rsidR="00FE3DDC">
        <w:rPr>
          <w:rFonts w:ascii="Times New Roman" w:hAnsi="Times New Roman"/>
        </w:rPr>
        <w:t xml:space="preserve"> to</w:t>
      </w:r>
      <w:r w:rsidRPr="000C3D42">
        <w:rPr>
          <w:rFonts w:ascii="Times New Roman" w:hAnsi="Times New Roman"/>
        </w:rPr>
        <w:t xml:space="preserve"> the dollar value of </w:t>
      </w:r>
      <w:r w:rsidRPr="000C3D42">
        <w:rPr>
          <w:rFonts w:ascii="Times New Roman" w:hAnsi="Times New Roman"/>
          <w:i/>
        </w:rPr>
        <w:t>the sum of all future</w:t>
      </w:r>
      <w:r w:rsidRPr="000C3D42">
        <w:rPr>
          <w:rFonts w:ascii="Times New Roman" w:hAnsi="Times New Roman"/>
        </w:rPr>
        <w:t xml:space="preserve"> </w:t>
      </w:r>
      <w:r w:rsidR="00FE3DDC" w:rsidRPr="00FE3DDC">
        <w:rPr>
          <w:rFonts w:ascii="Times New Roman" w:hAnsi="Times New Roman"/>
          <w:i/>
        </w:rPr>
        <w:t xml:space="preserve">returns </w:t>
      </w:r>
      <w:r w:rsidRPr="000C3D42">
        <w:rPr>
          <w:rFonts w:ascii="Times New Roman" w:hAnsi="Times New Roman"/>
        </w:rPr>
        <w:t xml:space="preserve">which the </w:t>
      </w:r>
      <w:r w:rsidR="00FE3DDC">
        <w:rPr>
          <w:rFonts w:ascii="Times New Roman" w:hAnsi="Times New Roman"/>
        </w:rPr>
        <w:t>investor expects</w:t>
      </w:r>
      <w:r w:rsidRPr="000C3D42">
        <w:rPr>
          <w:rFonts w:ascii="Times New Roman" w:hAnsi="Times New Roman"/>
        </w:rPr>
        <w:t xml:space="preserve"> to receive.  In fact, however, </w:t>
      </w:r>
      <w:r w:rsidR="00FE3DDC">
        <w:rPr>
          <w:rFonts w:ascii="Times New Roman" w:hAnsi="Times New Roman"/>
        </w:rPr>
        <w:t xml:space="preserve">it is inescapable that </w:t>
      </w:r>
      <w:r w:rsidRPr="000C3D42">
        <w:rPr>
          <w:rFonts w:ascii="Times New Roman" w:hAnsi="Times New Roman"/>
        </w:rPr>
        <w:t xml:space="preserve">the sum of all future </w:t>
      </w:r>
      <w:r w:rsidR="00FE3DDC">
        <w:rPr>
          <w:rFonts w:ascii="Times New Roman" w:hAnsi="Times New Roman"/>
        </w:rPr>
        <w:t xml:space="preserve">returns, </w:t>
      </w:r>
      <w:r w:rsidRPr="000C3D42">
        <w:rPr>
          <w:rFonts w:ascii="Times New Roman" w:hAnsi="Times New Roman"/>
        </w:rPr>
        <w:t xml:space="preserve">in any </w:t>
      </w:r>
      <w:r w:rsidR="00FE3DDC">
        <w:rPr>
          <w:rFonts w:ascii="Times New Roman" w:hAnsi="Times New Roman"/>
        </w:rPr>
        <w:t>credible circumstances</w:t>
      </w:r>
      <w:r w:rsidR="008652B0">
        <w:rPr>
          <w:rFonts w:ascii="Times New Roman" w:hAnsi="Times New Roman"/>
        </w:rPr>
        <w:t xml:space="preserve">, </w:t>
      </w:r>
      <w:r w:rsidR="008652B0" w:rsidRPr="000C3D42">
        <w:rPr>
          <w:rFonts w:ascii="Times New Roman" w:hAnsi="Times New Roman"/>
        </w:rPr>
        <w:t>must</w:t>
      </w:r>
      <w:r w:rsidR="00FE3DDC">
        <w:rPr>
          <w:rFonts w:ascii="Times New Roman" w:hAnsi="Times New Roman"/>
        </w:rPr>
        <w:t xml:space="preserve"> </w:t>
      </w:r>
      <w:r w:rsidR="0080608D" w:rsidRPr="000C3D42">
        <w:rPr>
          <w:rFonts w:ascii="Times New Roman" w:hAnsi="Times New Roman"/>
        </w:rPr>
        <w:t>greatly</w:t>
      </w:r>
      <w:r w:rsidRPr="000C3D42">
        <w:rPr>
          <w:rFonts w:ascii="Times New Roman" w:hAnsi="Times New Roman"/>
        </w:rPr>
        <w:t xml:space="preserve"> exceed the present price of the stock.</w:t>
      </w:r>
      <w:r w:rsidR="00FE3DDC">
        <w:rPr>
          <w:rFonts w:ascii="Times New Roman" w:hAnsi="Times New Roman"/>
        </w:rPr>
        <w:t xml:space="preserve">  How then, shall it be arranged to set the present price equal to the sum of all future returns?</w:t>
      </w:r>
      <w:r w:rsidRPr="000C3D42">
        <w:rPr>
          <w:rFonts w:ascii="Times New Roman" w:hAnsi="Times New Roman"/>
        </w:rPr>
        <w:t xml:space="preserve">                                                     </w:t>
      </w:r>
    </w:p>
    <w:p w:rsidR="000C3D42" w:rsidRPr="000C3D42" w:rsidRDefault="00FE3DDC" w:rsidP="00F35AEF">
      <w:pPr>
        <w:spacing w:line="480" w:lineRule="auto"/>
        <w:rPr>
          <w:rFonts w:ascii="Times New Roman" w:hAnsi="Times New Roman"/>
        </w:rPr>
      </w:pPr>
      <w:r>
        <w:rPr>
          <w:rFonts w:ascii="Times New Roman" w:hAnsi="Times New Roman"/>
        </w:rPr>
        <w:t>The DCF methodology dictates that, i</w:t>
      </w:r>
      <w:r w:rsidR="000C3D42" w:rsidRPr="000C3D42">
        <w:rPr>
          <w:rFonts w:ascii="Times New Roman" w:hAnsi="Times New Roman"/>
        </w:rPr>
        <w:t>n order to set the stock’s</w:t>
      </w:r>
      <w:r w:rsidR="000C3D42" w:rsidRPr="000C3D42">
        <w:rPr>
          <w:rFonts w:ascii="Times New Roman" w:hAnsi="Times New Roman"/>
          <w:i/>
        </w:rPr>
        <w:t xml:space="preserve"> present price </w:t>
      </w:r>
      <w:r w:rsidR="000C3D42" w:rsidRPr="000C3D42">
        <w:rPr>
          <w:rFonts w:ascii="Times New Roman" w:hAnsi="Times New Roman"/>
        </w:rPr>
        <w:t xml:space="preserve">equal to the sum of all anticipated future </w:t>
      </w:r>
      <w:r>
        <w:rPr>
          <w:rFonts w:ascii="Times New Roman" w:hAnsi="Times New Roman"/>
        </w:rPr>
        <w:t>returns</w:t>
      </w:r>
      <w:r w:rsidR="000C3D42" w:rsidRPr="000C3D42">
        <w:rPr>
          <w:rFonts w:ascii="Times New Roman" w:hAnsi="Times New Roman"/>
        </w:rPr>
        <w:t xml:space="preserve">, </w:t>
      </w:r>
      <w:r>
        <w:rPr>
          <w:rFonts w:ascii="Times New Roman" w:hAnsi="Times New Roman"/>
        </w:rPr>
        <w:t>the value of th</w:t>
      </w:r>
      <w:r w:rsidR="00706041">
        <w:rPr>
          <w:rFonts w:ascii="Times New Roman" w:hAnsi="Times New Roman"/>
        </w:rPr>
        <w:t>os</w:t>
      </w:r>
      <w:r>
        <w:rPr>
          <w:rFonts w:ascii="Times New Roman" w:hAnsi="Times New Roman"/>
        </w:rPr>
        <w:t xml:space="preserve">e future returns must be </w:t>
      </w:r>
      <w:r w:rsidR="000C3D42" w:rsidRPr="000C3D42">
        <w:rPr>
          <w:rFonts w:ascii="Times New Roman" w:hAnsi="Times New Roman"/>
          <w:i/>
        </w:rPr>
        <w:t>discount</w:t>
      </w:r>
      <w:r>
        <w:rPr>
          <w:rFonts w:ascii="Times New Roman" w:hAnsi="Times New Roman"/>
          <w:i/>
        </w:rPr>
        <w:t>ed</w:t>
      </w:r>
      <w:r>
        <w:rPr>
          <w:rFonts w:ascii="Times New Roman" w:hAnsi="Times New Roman"/>
        </w:rPr>
        <w:t xml:space="preserve"> at some rate</w:t>
      </w:r>
      <w:r>
        <w:rPr>
          <w:rFonts w:ascii="Times New Roman" w:hAnsi="Times New Roman"/>
          <w:i/>
        </w:rPr>
        <w:t>.</w:t>
      </w:r>
      <w:r w:rsidR="000C3D42" w:rsidRPr="000C3D42">
        <w:rPr>
          <w:rFonts w:ascii="Times New Roman" w:hAnsi="Times New Roman"/>
        </w:rPr>
        <w:t xml:space="preserve">   </w:t>
      </w:r>
      <w:r>
        <w:rPr>
          <w:rFonts w:ascii="Times New Roman" w:hAnsi="Times New Roman"/>
        </w:rPr>
        <w:t>T</w:t>
      </w:r>
      <w:r w:rsidRPr="000C3D42">
        <w:rPr>
          <w:rFonts w:ascii="Times New Roman" w:hAnsi="Times New Roman"/>
        </w:rPr>
        <w:t xml:space="preserve">he rate at which the </w:t>
      </w:r>
      <w:r>
        <w:rPr>
          <w:rFonts w:ascii="Times New Roman" w:hAnsi="Times New Roman"/>
        </w:rPr>
        <w:t xml:space="preserve">present value </w:t>
      </w:r>
      <w:r w:rsidRPr="000C3D42">
        <w:rPr>
          <w:rFonts w:ascii="Times New Roman" w:hAnsi="Times New Roman"/>
        </w:rPr>
        <w:t xml:space="preserve">of the future </w:t>
      </w:r>
      <w:r>
        <w:rPr>
          <w:rFonts w:ascii="Times New Roman" w:hAnsi="Times New Roman"/>
        </w:rPr>
        <w:t xml:space="preserve">returns must be discounted </w:t>
      </w:r>
      <w:r w:rsidRPr="000C3D42">
        <w:rPr>
          <w:rFonts w:ascii="Times New Roman" w:hAnsi="Times New Roman"/>
        </w:rPr>
        <w:t>in order to render it equal to the present price of the stock</w:t>
      </w:r>
      <w:r>
        <w:rPr>
          <w:rFonts w:ascii="Times New Roman" w:hAnsi="Times New Roman"/>
        </w:rPr>
        <w:t xml:space="preserve"> is calculated by c</w:t>
      </w:r>
      <w:r w:rsidR="000C3D42" w:rsidRPr="000C3D42">
        <w:rPr>
          <w:rFonts w:ascii="Times New Roman" w:hAnsi="Times New Roman"/>
        </w:rPr>
        <w:t>ompari</w:t>
      </w:r>
      <w:r>
        <w:rPr>
          <w:rFonts w:ascii="Times New Roman" w:hAnsi="Times New Roman"/>
        </w:rPr>
        <w:t xml:space="preserve">ng of </w:t>
      </w:r>
      <w:r w:rsidR="000C3D42" w:rsidRPr="000C3D42">
        <w:rPr>
          <w:rFonts w:ascii="Times New Roman" w:hAnsi="Times New Roman"/>
        </w:rPr>
        <w:t xml:space="preserve">the present price of the stock to the (larger) sum of all future expected </w:t>
      </w:r>
      <w:r>
        <w:rPr>
          <w:rFonts w:ascii="Times New Roman" w:hAnsi="Times New Roman"/>
        </w:rPr>
        <w:t>returns</w:t>
      </w:r>
      <w:r w:rsidR="000C3D42" w:rsidRPr="000C3D42">
        <w:rPr>
          <w:rFonts w:ascii="Times New Roman" w:hAnsi="Times New Roman"/>
        </w:rPr>
        <w:t xml:space="preserve">.  </w:t>
      </w:r>
      <w:r>
        <w:rPr>
          <w:rFonts w:ascii="Times New Roman" w:hAnsi="Times New Roman"/>
        </w:rPr>
        <w:t>Under the DCF, t</w:t>
      </w:r>
      <w:r w:rsidR="0080608D" w:rsidRPr="000C3D42">
        <w:rPr>
          <w:rFonts w:ascii="Times New Roman" w:hAnsi="Times New Roman"/>
        </w:rPr>
        <w:t xml:space="preserve">he </w:t>
      </w:r>
      <w:r w:rsidRPr="00706041">
        <w:rPr>
          <w:rFonts w:ascii="Times New Roman" w:hAnsi="Times New Roman"/>
        </w:rPr>
        <w:t xml:space="preserve">resultant </w:t>
      </w:r>
      <w:r w:rsidR="0080608D" w:rsidRPr="000C3D42">
        <w:rPr>
          <w:rFonts w:ascii="Times New Roman" w:hAnsi="Times New Roman"/>
          <w:i/>
        </w:rPr>
        <w:t>discount rate</w:t>
      </w:r>
      <w:r w:rsidR="0080608D" w:rsidRPr="000C3D42">
        <w:rPr>
          <w:rFonts w:ascii="Times New Roman" w:hAnsi="Times New Roman"/>
        </w:rPr>
        <w:t xml:space="preserve"> </w:t>
      </w:r>
      <w:r w:rsidR="00706041">
        <w:rPr>
          <w:rFonts w:ascii="Times New Roman" w:hAnsi="Times New Roman"/>
        </w:rPr>
        <w:t xml:space="preserve">constitutes </w:t>
      </w:r>
      <w:r w:rsidR="000C3D42" w:rsidRPr="000C3D42">
        <w:rPr>
          <w:rFonts w:ascii="Times New Roman" w:hAnsi="Times New Roman"/>
        </w:rPr>
        <w:t xml:space="preserve">the ROE which the investor presently.  </w:t>
      </w:r>
    </w:p>
    <w:p w:rsidR="00F35AEF" w:rsidRDefault="00F35AEF" w:rsidP="00F35AEF">
      <w:pPr>
        <w:spacing w:line="480" w:lineRule="auto"/>
        <w:rPr>
          <w:rFonts w:ascii="Times New Roman" w:hAnsi="Times New Roman"/>
        </w:rPr>
      </w:pPr>
    </w:p>
    <w:p w:rsidR="000C3D42" w:rsidRPr="000C3D42" w:rsidRDefault="000C3D42" w:rsidP="00F35AEF">
      <w:pPr>
        <w:spacing w:line="480" w:lineRule="auto"/>
        <w:rPr>
          <w:rFonts w:ascii="Times New Roman" w:hAnsi="Times New Roman"/>
        </w:rPr>
      </w:pPr>
      <w:r w:rsidRPr="000C3D42">
        <w:rPr>
          <w:rFonts w:ascii="Times New Roman" w:hAnsi="Times New Roman"/>
        </w:rPr>
        <w:t>There is no dispute herein as to the mathematical model, the equations, upon which t</w:t>
      </w:r>
      <w:r w:rsidR="00706041">
        <w:rPr>
          <w:rFonts w:ascii="Times New Roman" w:hAnsi="Times New Roman"/>
        </w:rPr>
        <w:t>he</w:t>
      </w:r>
      <w:r w:rsidRPr="000C3D42">
        <w:rPr>
          <w:rFonts w:ascii="Times New Roman" w:hAnsi="Times New Roman"/>
        </w:rPr>
        <w:t xml:space="preserve"> </w:t>
      </w:r>
      <w:r w:rsidR="00706041">
        <w:rPr>
          <w:rFonts w:ascii="Times New Roman" w:hAnsi="Times New Roman"/>
        </w:rPr>
        <w:t>above-described</w:t>
      </w:r>
      <w:r w:rsidRPr="000C3D42">
        <w:rPr>
          <w:rFonts w:ascii="Times New Roman" w:hAnsi="Times New Roman"/>
        </w:rPr>
        <w:t xml:space="preserve"> DCF </w:t>
      </w:r>
      <w:r w:rsidR="00706041">
        <w:rPr>
          <w:rFonts w:ascii="Times New Roman" w:hAnsi="Times New Roman"/>
        </w:rPr>
        <w:t xml:space="preserve">methodology and the necessary </w:t>
      </w:r>
      <w:r w:rsidRPr="000C3D42">
        <w:rPr>
          <w:rFonts w:ascii="Times New Roman" w:hAnsi="Times New Roman"/>
        </w:rPr>
        <w:t>calculations</w:t>
      </w:r>
      <w:r w:rsidR="00706041">
        <w:rPr>
          <w:rFonts w:ascii="Times New Roman" w:hAnsi="Times New Roman"/>
        </w:rPr>
        <w:t xml:space="preserve"> thereunder shall be based</w:t>
      </w:r>
      <w:r w:rsidRPr="000C3D42">
        <w:rPr>
          <w:rFonts w:ascii="Times New Roman" w:hAnsi="Times New Roman"/>
        </w:rPr>
        <w:t>. (compare H</w:t>
      </w:r>
      <w:r w:rsidR="00A00627">
        <w:rPr>
          <w:rFonts w:ascii="Times New Roman" w:hAnsi="Times New Roman"/>
        </w:rPr>
        <w:t>adaway Direct,</w:t>
      </w:r>
      <w:r w:rsidRPr="000C3D42">
        <w:rPr>
          <w:rFonts w:ascii="Times New Roman" w:hAnsi="Times New Roman"/>
        </w:rPr>
        <w:t xml:space="preserve"> 16 </w:t>
      </w:r>
      <w:r w:rsidRPr="000C3D42">
        <w:rPr>
          <w:rFonts w:ascii="Times New Roman" w:hAnsi="Times New Roman"/>
          <w:i/>
        </w:rPr>
        <w:t>et seq., G</w:t>
      </w:r>
      <w:r w:rsidR="00A00627">
        <w:rPr>
          <w:rFonts w:ascii="Times New Roman" w:hAnsi="Times New Roman"/>
          <w:i/>
        </w:rPr>
        <w:t>orman Direct</w:t>
      </w:r>
      <w:r w:rsidRPr="000C3D42">
        <w:rPr>
          <w:rFonts w:ascii="Times New Roman" w:hAnsi="Times New Roman"/>
          <w:i/>
        </w:rPr>
        <w:t xml:space="preserve">, 13 </w:t>
      </w:r>
      <w:r w:rsidRPr="001F63E1">
        <w:rPr>
          <w:rFonts w:ascii="Times New Roman" w:hAnsi="Times New Roman"/>
          <w:i/>
        </w:rPr>
        <w:t>et seq.</w:t>
      </w:r>
      <w:r w:rsidR="001F63E1">
        <w:rPr>
          <w:rFonts w:ascii="Times New Roman" w:hAnsi="Times New Roman"/>
          <w:i/>
        </w:rPr>
        <w:t>,</w:t>
      </w:r>
      <w:r w:rsidR="00A00627">
        <w:rPr>
          <w:rFonts w:ascii="Times New Roman" w:hAnsi="Times New Roman"/>
        </w:rPr>
        <w:t>(Staff Rate Design and Cost of Service Report, November 24, 2010</w:t>
      </w:r>
      <w:r w:rsidR="004C06CC">
        <w:rPr>
          <w:rFonts w:ascii="Times New Roman" w:hAnsi="Times New Roman"/>
        </w:rPr>
        <w:t xml:space="preserve"> (“Staff Rpt.”)</w:t>
      </w:r>
      <w:r w:rsidR="00A00627">
        <w:rPr>
          <w:rFonts w:ascii="Times New Roman" w:hAnsi="Times New Roman"/>
        </w:rPr>
        <w:t xml:space="preserve">,  </w:t>
      </w:r>
      <w:r w:rsidR="004C06CC">
        <w:rPr>
          <w:rFonts w:ascii="Times New Roman" w:hAnsi="Times New Roman"/>
        </w:rPr>
        <w:t>27</w:t>
      </w:r>
      <w:r w:rsidRPr="000C3D42">
        <w:rPr>
          <w:rFonts w:ascii="Times New Roman" w:hAnsi="Times New Roman"/>
        </w:rPr>
        <w:t xml:space="preserve">)  There is also no dispute as </w:t>
      </w:r>
      <w:r w:rsidR="008652B0" w:rsidRPr="000C3D42">
        <w:rPr>
          <w:rFonts w:ascii="Times New Roman" w:hAnsi="Times New Roman"/>
        </w:rPr>
        <w:t>to applicable</w:t>
      </w:r>
      <w:r w:rsidRPr="000C3D42">
        <w:rPr>
          <w:rFonts w:ascii="Times New Roman" w:hAnsi="Times New Roman"/>
        </w:rPr>
        <w:t xml:space="preserve"> capital structure)</w:t>
      </w:r>
      <w:r w:rsidR="008652B0" w:rsidRPr="000C3D42">
        <w:rPr>
          <w:rFonts w:ascii="Times New Roman" w:hAnsi="Times New Roman"/>
        </w:rPr>
        <w:t xml:space="preserve">, </w:t>
      </w:r>
      <w:r w:rsidRPr="000C3D42">
        <w:rPr>
          <w:rFonts w:ascii="Times New Roman" w:hAnsi="Times New Roman"/>
        </w:rPr>
        <w:t xml:space="preserve">stock price, </w:t>
      </w:r>
      <w:r w:rsidR="00706041">
        <w:rPr>
          <w:rFonts w:ascii="Times New Roman" w:hAnsi="Times New Roman"/>
        </w:rPr>
        <w:t xml:space="preserve">or </w:t>
      </w:r>
      <w:r w:rsidRPr="000C3D42">
        <w:rPr>
          <w:rFonts w:ascii="Times New Roman" w:hAnsi="Times New Roman"/>
        </w:rPr>
        <w:t xml:space="preserve">dividend yield.  There is no material dispute as to the proxy group upon which the experts’ </w:t>
      </w:r>
      <w:r w:rsidR="00706041">
        <w:rPr>
          <w:rFonts w:ascii="Times New Roman" w:hAnsi="Times New Roman"/>
        </w:rPr>
        <w:t xml:space="preserve">necessary </w:t>
      </w:r>
      <w:r w:rsidRPr="000C3D42">
        <w:rPr>
          <w:rFonts w:ascii="Times New Roman" w:hAnsi="Times New Roman"/>
        </w:rPr>
        <w:t xml:space="preserve">dividend yield calculations are based. </w:t>
      </w:r>
      <w:r w:rsidR="00706041">
        <w:rPr>
          <w:rFonts w:ascii="Times New Roman" w:hAnsi="Times New Roman"/>
        </w:rPr>
        <w:t xml:space="preserve"> Two of the witnesses used the same proxy group </w:t>
      </w:r>
      <w:r w:rsidRPr="000C3D42">
        <w:rPr>
          <w:rFonts w:ascii="Times New Roman" w:hAnsi="Times New Roman"/>
        </w:rPr>
        <w:t>(</w:t>
      </w:r>
      <w:r w:rsidR="004C06CC">
        <w:rPr>
          <w:rFonts w:ascii="Times New Roman" w:hAnsi="Times New Roman"/>
        </w:rPr>
        <w:t xml:space="preserve">see </w:t>
      </w:r>
      <w:r w:rsidRPr="000C3D42">
        <w:rPr>
          <w:rFonts w:ascii="Times New Roman" w:hAnsi="Times New Roman"/>
        </w:rPr>
        <w:t>H</w:t>
      </w:r>
      <w:r w:rsidR="004C06CC">
        <w:rPr>
          <w:rFonts w:ascii="Times New Roman" w:hAnsi="Times New Roman"/>
        </w:rPr>
        <w:t xml:space="preserve">adaway Direct, </w:t>
      </w:r>
      <w:r w:rsidR="0080608D" w:rsidRPr="000C3D42">
        <w:rPr>
          <w:rFonts w:ascii="Times New Roman" w:hAnsi="Times New Roman"/>
        </w:rPr>
        <w:t>39</w:t>
      </w:r>
      <w:r w:rsidR="004C06CC">
        <w:rPr>
          <w:rFonts w:ascii="Times New Roman" w:hAnsi="Times New Roman"/>
        </w:rPr>
        <w:t xml:space="preserve">; Hadaway Rebutal, </w:t>
      </w:r>
      <w:r w:rsidRPr="000C3D42">
        <w:rPr>
          <w:rFonts w:ascii="Times New Roman" w:hAnsi="Times New Roman"/>
        </w:rPr>
        <w:t>11</w:t>
      </w:r>
      <w:r w:rsidR="00706041">
        <w:rPr>
          <w:rFonts w:ascii="Times New Roman" w:hAnsi="Times New Roman"/>
        </w:rPr>
        <w:t>)</w:t>
      </w:r>
      <w:r w:rsidRPr="000C3D42">
        <w:rPr>
          <w:rFonts w:ascii="Times New Roman" w:hAnsi="Times New Roman"/>
        </w:rPr>
        <w:t xml:space="preserve"> </w:t>
      </w:r>
      <w:r w:rsidR="00706041">
        <w:rPr>
          <w:rFonts w:ascii="Times New Roman" w:hAnsi="Times New Roman"/>
        </w:rPr>
        <w:t xml:space="preserve"> </w:t>
      </w:r>
      <w:r w:rsidR="0080608D" w:rsidRPr="000C3D42">
        <w:rPr>
          <w:rFonts w:ascii="Times New Roman" w:hAnsi="Times New Roman"/>
        </w:rPr>
        <w:t xml:space="preserve">Staff </w:t>
      </w:r>
      <w:r w:rsidR="0080608D">
        <w:rPr>
          <w:rFonts w:ascii="Times New Roman" w:hAnsi="Times New Roman"/>
        </w:rPr>
        <w:t>used</w:t>
      </w:r>
      <w:r w:rsidRPr="000C3D42">
        <w:rPr>
          <w:rFonts w:ascii="Times New Roman" w:hAnsi="Times New Roman"/>
        </w:rPr>
        <w:t xml:space="preserve"> a different group</w:t>
      </w:r>
      <w:r w:rsidR="00706041">
        <w:rPr>
          <w:rFonts w:ascii="Times New Roman" w:hAnsi="Times New Roman"/>
        </w:rPr>
        <w:t>,</w:t>
      </w:r>
      <w:r w:rsidRPr="000C3D42">
        <w:rPr>
          <w:rFonts w:ascii="Times New Roman" w:hAnsi="Times New Roman"/>
        </w:rPr>
        <w:t xml:space="preserve"> but that group’s dividend yield is only slightly lower than that of the group used by </w:t>
      </w:r>
      <w:r w:rsidR="004A6CB8">
        <w:rPr>
          <w:rFonts w:ascii="Times New Roman" w:hAnsi="Times New Roman"/>
        </w:rPr>
        <w:t>D</w:t>
      </w:r>
      <w:r w:rsidRPr="000C3D42">
        <w:rPr>
          <w:rFonts w:ascii="Times New Roman" w:hAnsi="Times New Roman"/>
        </w:rPr>
        <w:t xml:space="preserve">r. Hadaway and Mr. Gorman.  The one disagreement as to how </w:t>
      </w:r>
      <w:r w:rsidR="00706041">
        <w:rPr>
          <w:rFonts w:ascii="Times New Roman" w:hAnsi="Times New Roman"/>
        </w:rPr>
        <w:t>to use the</w:t>
      </w:r>
      <w:r w:rsidRPr="000C3D42">
        <w:rPr>
          <w:rFonts w:ascii="Times New Roman" w:hAnsi="Times New Roman"/>
        </w:rPr>
        <w:t xml:space="preserve"> proxy group </w:t>
      </w:r>
      <w:r w:rsidR="00706041">
        <w:rPr>
          <w:rFonts w:ascii="Times New Roman" w:hAnsi="Times New Roman"/>
        </w:rPr>
        <w:t xml:space="preserve">involves </w:t>
      </w:r>
      <w:r w:rsidRPr="000C3D42">
        <w:rPr>
          <w:rFonts w:ascii="Times New Roman" w:hAnsi="Times New Roman"/>
        </w:rPr>
        <w:t xml:space="preserve">only a “slightly” </w:t>
      </w:r>
      <w:r w:rsidR="00706041">
        <w:rPr>
          <w:rFonts w:ascii="Times New Roman" w:hAnsi="Times New Roman"/>
        </w:rPr>
        <w:t xml:space="preserve">different </w:t>
      </w:r>
      <w:r w:rsidRPr="000C3D42">
        <w:rPr>
          <w:rFonts w:ascii="Times New Roman" w:hAnsi="Times New Roman"/>
        </w:rPr>
        <w:t>overall DCF estimate. (Had</w:t>
      </w:r>
      <w:r w:rsidR="004C06CC">
        <w:rPr>
          <w:rFonts w:ascii="Times New Roman" w:hAnsi="Times New Roman"/>
        </w:rPr>
        <w:t>away Rebuttal,</w:t>
      </w:r>
      <w:r w:rsidRPr="000C3D42">
        <w:rPr>
          <w:rFonts w:ascii="Times New Roman" w:hAnsi="Times New Roman"/>
        </w:rPr>
        <w:t xml:space="preserve"> 18)    </w:t>
      </w:r>
    </w:p>
    <w:p w:rsidR="00663554" w:rsidRDefault="00663554" w:rsidP="000C3D42">
      <w:pPr>
        <w:spacing w:line="480" w:lineRule="auto"/>
        <w:rPr>
          <w:rFonts w:ascii="Times New Roman" w:hAnsi="Times New Roman"/>
          <w:u w:val="single"/>
        </w:rPr>
      </w:pPr>
    </w:p>
    <w:p w:rsidR="006B3934" w:rsidRDefault="006B3934" w:rsidP="000C3D42">
      <w:pPr>
        <w:spacing w:line="480" w:lineRule="auto"/>
        <w:rPr>
          <w:rFonts w:ascii="Times New Roman" w:hAnsi="Times New Roman"/>
          <w:b/>
        </w:rPr>
      </w:pPr>
    </w:p>
    <w:p w:rsidR="000C3D42" w:rsidRPr="00663554" w:rsidRDefault="00494D10" w:rsidP="000C3D42">
      <w:pPr>
        <w:spacing w:line="480" w:lineRule="auto"/>
        <w:rPr>
          <w:rFonts w:ascii="Times New Roman" w:hAnsi="Times New Roman"/>
          <w:b/>
        </w:rPr>
      </w:pPr>
      <w:r>
        <w:rPr>
          <w:rFonts w:ascii="Times New Roman" w:hAnsi="Times New Roman"/>
          <w:b/>
        </w:rPr>
        <w:t xml:space="preserve">b. </w:t>
      </w:r>
      <w:r w:rsidR="00AF43AE">
        <w:rPr>
          <w:rFonts w:ascii="Times New Roman" w:hAnsi="Times New Roman"/>
          <w:b/>
        </w:rPr>
        <w:t xml:space="preserve"> </w:t>
      </w:r>
      <w:r w:rsidR="000C3D42" w:rsidRPr="00663554">
        <w:rPr>
          <w:rFonts w:ascii="Times New Roman" w:hAnsi="Times New Roman"/>
          <w:b/>
        </w:rPr>
        <w:t xml:space="preserve">The </w:t>
      </w:r>
      <w:r w:rsidR="00663554">
        <w:rPr>
          <w:rFonts w:ascii="Times New Roman" w:hAnsi="Times New Roman"/>
          <w:b/>
        </w:rPr>
        <w:t xml:space="preserve">Pivotal </w:t>
      </w:r>
      <w:r w:rsidR="007555EE" w:rsidRPr="00663554">
        <w:rPr>
          <w:rFonts w:ascii="Times New Roman" w:hAnsi="Times New Roman"/>
          <w:b/>
        </w:rPr>
        <w:t xml:space="preserve">Issue </w:t>
      </w:r>
      <w:r w:rsidR="008652B0" w:rsidRPr="00663554">
        <w:rPr>
          <w:rFonts w:ascii="Times New Roman" w:hAnsi="Times New Roman"/>
          <w:b/>
        </w:rPr>
        <w:t>of DCF</w:t>
      </w:r>
      <w:r w:rsidR="00706041" w:rsidRPr="00663554">
        <w:rPr>
          <w:rFonts w:ascii="Times New Roman" w:hAnsi="Times New Roman"/>
          <w:b/>
        </w:rPr>
        <w:t xml:space="preserve"> </w:t>
      </w:r>
      <w:r w:rsidR="000C3D42" w:rsidRPr="00663554">
        <w:rPr>
          <w:rFonts w:ascii="Times New Roman" w:hAnsi="Times New Roman"/>
          <w:b/>
        </w:rPr>
        <w:t xml:space="preserve">Growth Rate  </w:t>
      </w:r>
    </w:p>
    <w:p w:rsidR="000C3D42" w:rsidRPr="000C3D42" w:rsidRDefault="000C3D42" w:rsidP="00F35AEF">
      <w:pPr>
        <w:spacing w:line="480" w:lineRule="auto"/>
        <w:rPr>
          <w:rFonts w:ascii="Times New Roman" w:hAnsi="Times New Roman"/>
        </w:rPr>
      </w:pPr>
      <w:r w:rsidRPr="000C3D42">
        <w:rPr>
          <w:rFonts w:ascii="Times New Roman" w:hAnsi="Times New Roman"/>
        </w:rPr>
        <w:t xml:space="preserve">As described above, DCF computation depends upon calculating the sum of future </w:t>
      </w:r>
      <w:r w:rsidR="00706041">
        <w:rPr>
          <w:rFonts w:ascii="Times New Roman" w:hAnsi="Times New Roman"/>
        </w:rPr>
        <w:t>returns</w:t>
      </w:r>
      <w:r w:rsidRPr="000C3D42">
        <w:rPr>
          <w:rFonts w:ascii="Times New Roman" w:hAnsi="Times New Roman"/>
        </w:rPr>
        <w:t xml:space="preserve">.  In order to do that, a </w:t>
      </w:r>
      <w:r w:rsidRPr="000C3D42">
        <w:rPr>
          <w:rFonts w:ascii="Times New Roman" w:hAnsi="Times New Roman"/>
          <w:i/>
        </w:rPr>
        <w:t>growth rate</w:t>
      </w:r>
      <w:r w:rsidRPr="000C3D42">
        <w:rPr>
          <w:rFonts w:ascii="Times New Roman" w:hAnsi="Times New Roman"/>
        </w:rPr>
        <w:t xml:space="preserve"> for such future returns</w:t>
      </w:r>
      <w:r w:rsidR="00706041">
        <w:rPr>
          <w:rFonts w:ascii="Times New Roman" w:hAnsi="Times New Roman"/>
        </w:rPr>
        <w:t xml:space="preserve"> </w:t>
      </w:r>
      <w:r w:rsidRPr="000C3D42">
        <w:rPr>
          <w:rFonts w:ascii="Times New Roman" w:hAnsi="Times New Roman"/>
        </w:rPr>
        <w:t>must</w:t>
      </w:r>
      <w:r w:rsidR="00706041">
        <w:rPr>
          <w:rFonts w:ascii="Times New Roman" w:hAnsi="Times New Roman"/>
        </w:rPr>
        <w:t xml:space="preserve"> </w:t>
      </w:r>
      <w:r w:rsidRPr="000C3D42">
        <w:rPr>
          <w:rFonts w:ascii="Times New Roman" w:hAnsi="Times New Roman"/>
        </w:rPr>
        <w:t xml:space="preserve">be calculated and then </w:t>
      </w:r>
      <w:r w:rsidR="00706041">
        <w:rPr>
          <w:rFonts w:ascii="Times New Roman" w:hAnsi="Times New Roman"/>
        </w:rPr>
        <w:t>adopted</w:t>
      </w:r>
      <w:r w:rsidRPr="000C3D42">
        <w:rPr>
          <w:rFonts w:ascii="Times New Roman" w:hAnsi="Times New Roman"/>
        </w:rPr>
        <w:t xml:space="preserve"> in the DCF me</w:t>
      </w:r>
      <w:r w:rsidR="00706041">
        <w:rPr>
          <w:rFonts w:ascii="Times New Roman" w:hAnsi="Times New Roman"/>
        </w:rPr>
        <w:t>thodology</w:t>
      </w:r>
      <w:r w:rsidRPr="000C3D42">
        <w:rPr>
          <w:rFonts w:ascii="Times New Roman" w:hAnsi="Times New Roman"/>
        </w:rPr>
        <w:t>.   This growth rate calculation is pivotal and crucial</w:t>
      </w:r>
      <w:r w:rsidR="00706041">
        <w:rPr>
          <w:rFonts w:ascii="Times New Roman" w:hAnsi="Times New Roman"/>
        </w:rPr>
        <w:t xml:space="preserve"> in the DCF methodology.</w:t>
      </w:r>
      <w:r w:rsidRPr="000C3D42">
        <w:rPr>
          <w:rFonts w:ascii="Times New Roman" w:hAnsi="Times New Roman"/>
        </w:rPr>
        <w:t xml:space="preserve"> </w:t>
      </w:r>
      <w:r w:rsidR="00706041">
        <w:rPr>
          <w:rFonts w:ascii="Times New Roman" w:hAnsi="Times New Roman"/>
        </w:rPr>
        <w:t xml:space="preserve"> </w:t>
      </w:r>
      <w:r w:rsidR="007555EE">
        <w:rPr>
          <w:rFonts w:ascii="Times New Roman" w:hAnsi="Times New Roman"/>
        </w:rPr>
        <w:t>T</w:t>
      </w:r>
      <w:r w:rsidRPr="000C3D42">
        <w:rPr>
          <w:rFonts w:ascii="Times New Roman" w:hAnsi="Times New Roman"/>
        </w:rPr>
        <w:t xml:space="preserve">he higher the growth rate, the higher the </w:t>
      </w:r>
      <w:r w:rsidR="007555EE">
        <w:rPr>
          <w:rFonts w:ascii="Times New Roman" w:hAnsi="Times New Roman"/>
        </w:rPr>
        <w:t xml:space="preserve">calculated </w:t>
      </w:r>
      <w:r w:rsidRPr="000C3D42">
        <w:rPr>
          <w:rFonts w:ascii="Times New Roman" w:hAnsi="Times New Roman"/>
        </w:rPr>
        <w:t xml:space="preserve">sum of </w:t>
      </w:r>
      <w:r w:rsidR="007555EE">
        <w:rPr>
          <w:rFonts w:ascii="Times New Roman" w:hAnsi="Times New Roman"/>
        </w:rPr>
        <w:t xml:space="preserve">the </w:t>
      </w:r>
      <w:r w:rsidRPr="000C3D42">
        <w:rPr>
          <w:rFonts w:ascii="Times New Roman" w:hAnsi="Times New Roman"/>
        </w:rPr>
        <w:t xml:space="preserve">future </w:t>
      </w:r>
      <w:r w:rsidR="00706041">
        <w:rPr>
          <w:rFonts w:ascii="Times New Roman" w:hAnsi="Times New Roman"/>
        </w:rPr>
        <w:t>returns</w:t>
      </w:r>
      <w:r w:rsidRPr="000C3D42">
        <w:rPr>
          <w:rFonts w:ascii="Times New Roman" w:hAnsi="Times New Roman"/>
        </w:rPr>
        <w:t xml:space="preserve">.  The higher the sum of the future </w:t>
      </w:r>
      <w:r w:rsidR="00706041">
        <w:rPr>
          <w:rFonts w:ascii="Times New Roman" w:hAnsi="Times New Roman"/>
        </w:rPr>
        <w:t>returns</w:t>
      </w:r>
      <w:r w:rsidRPr="000C3D42">
        <w:rPr>
          <w:rFonts w:ascii="Times New Roman" w:hAnsi="Times New Roman"/>
        </w:rPr>
        <w:t xml:space="preserve">, the higher the </w:t>
      </w:r>
      <w:r w:rsidR="007555EE">
        <w:rPr>
          <w:rFonts w:ascii="Times New Roman" w:hAnsi="Times New Roman"/>
        </w:rPr>
        <w:t xml:space="preserve">sum of the futures becomes, compared to the present price of the stock.  The higher the present price of the stock, the higher the </w:t>
      </w:r>
      <w:r w:rsidRPr="000C3D42">
        <w:rPr>
          <w:rFonts w:ascii="Times New Roman" w:hAnsi="Times New Roman"/>
        </w:rPr>
        <w:t xml:space="preserve">discount rate that must be applied to </w:t>
      </w:r>
      <w:r w:rsidR="007555EE">
        <w:rPr>
          <w:rFonts w:ascii="Times New Roman" w:hAnsi="Times New Roman"/>
        </w:rPr>
        <w:t xml:space="preserve">the sum of </w:t>
      </w:r>
      <w:r w:rsidRPr="000C3D42">
        <w:rPr>
          <w:rFonts w:ascii="Times New Roman" w:hAnsi="Times New Roman"/>
        </w:rPr>
        <w:t xml:space="preserve">those </w:t>
      </w:r>
      <w:r w:rsidR="00706041">
        <w:rPr>
          <w:rFonts w:ascii="Times New Roman" w:hAnsi="Times New Roman"/>
        </w:rPr>
        <w:t>returns</w:t>
      </w:r>
      <w:r w:rsidRPr="000C3D42">
        <w:rPr>
          <w:rFonts w:ascii="Times New Roman" w:hAnsi="Times New Roman"/>
        </w:rPr>
        <w:t xml:space="preserve"> in order </w:t>
      </w:r>
      <w:r w:rsidR="007555EE">
        <w:rPr>
          <w:rFonts w:ascii="Times New Roman" w:hAnsi="Times New Roman"/>
        </w:rPr>
        <w:t xml:space="preserve">to render that sum </w:t>
      </w:r>
      <w:r w:rsidRPr="000C3D42">
        <w:rPr>
          <w:rFonts w:ascii="Times New Roman" w:hAnsi="Times New Roman"/>
        </w:rPr>
        <w:t xml:space="preserve">equal </w:t>
      </w:r>
      <w:r w:rsidR="007555EE">
        <w:rPr>
          <w:rFonts w:ascii="Times New Roman" w:hAnsi="Times New Roman"/>
        </w:rPr>
        <w:t xml:space="preserve">to </w:t>
      </w:r>
      <w:r w:rsidRPr="000C3D42">
        <w:rPr>
          <w:rFonts w:ascii="Times New Roman" w:hAnsi="Times New Roman"/>
        </w:rPr>
        <w:t>the present price</w:t>
      </w:r>
      <w:r w:rsidR="007555EE">
        <w:rPr>
          <w:rFonts w:ascii="Times New Roman" w:hAnsi="Times New Roman"/>
        </w:rPr>
        <w:t xml:space="preserve"> of the stock</w:t>
      </w:r>
      <w:r w:rsidRPr="000C3D42">
        <w:rPr>
          <w:rFonts w:ascii="Times New Roman" w:hAnsi="Times New Roman"/>
        </w:rPr>
        <w:t>.  And, because the growth rate drives the discount rate, and the discount rate constitutes the resultant recommended ROE, the higher the growth rate, the higher the recommended ROE.  Thus, the growth rate or growth rates that underlie any DCF analysis are to all intents and purposes determinative of what the</w:t>
      </w:r>
      <w:r w:rsidR="007555EE">
        <w:rPr>
          <w:rFonts w:ascii="Times New Roman" w:hAnsi="Times New Roman"/>
        </w:rPr>
        <w:t xml:space="preserve"> </w:t>
      </w:r>
      <w:r w:rsidRPr="000C3D42">
        <w:rPr>
          <w:rFonts w:ascii="Times New Roman" w:hAnsi="Times New Roman"/>
        </w:rPr>
        <w:t xml:space="preserve">resultant </w:t>
      </w:r>
      <w:r w:rsidR="007555EE">
        <w:rPr>
          <w:rFonts w:ascii="Times New Roman" w:hAnsi="Times New Roman"/>
        </w:rPr>
        <w:t xml:space="preserve">DCF-based </w:t>
      </w:r>
      <w:r w:rsidRPr="000C3D42">
        <w:rPr>
          <w:rFonts w:ascii="Times New Roman" w:hAnsi="Times New Roman"/>
        </w:rPr>
        <w:t xml:space="preserve">recommended ROE shall be.  </w:t>
      </w:r>
      <w:r w:rsidR="007555EE">
        <w:rPr>
          <w:rFonts w:ascii="Times New Roman" w:hAnsi="Times New Roman"/>
        </w:rPr>
        <w:t xml:space="preserve">For this reason, the manner in which the growth rate is determined is crucial. </w:t>
      </w:r>
    </w:p>
    <w:p w:rsidR="00F35AEF" w:rsidRDefault="00F35AEF" w:rsidP="00C00A31">
      <w:pPr>
        <w:spacing w:line="480" w:lineRule="auto"/>
        <w:ind w:firstLine="720"/>
        <w:rPr>
          <w:rFonts w:ascii="Times New Roman" w:hAnsi="Times New Roman"/>
        </w:rPr>
      </w:pPr>
    </w:p>
    <w:p w:rsidR="000C3D42" w:rsidRPr="000C3D42" w:rsidRDefault="000C3D42" w:rsidP="00F35AEF">
      <w:pPr>
        <w:spacing w:line="480" w:lineRule="auto"/>
        <w:rPr>
          <w:rFonts w:ascii="Times New Roman" w:hAnsi="Times New Roman"/>
        </w:rPr>
      </w:pPr>
      <w:r w:rsidRPr="000C3D42">
        <w:rPr>
          <w:rFonts w:ascii="Times New Roman" w:hAnsi="Times New Roman"/>
        </w:rPr>
        <w:t xml:space="preserve">In times of less short and long term marketplace turbulence and uncertainty, it was considered an acceptable DCF methodology to </w:t>
      </w:r>
      <w:r w:rsidR="007555EE">
        <w:rPr>
          <w:rFonts w:ascii="Times New Roman" w:hAnsi="Times New Roman"/>
        </w:rPr>
        <w:t>determine</w:t>
      </w:r>
      <w:r w:rsidRPr="000C3D42">
        <w:rPr>
          <w:rFonts w:ascii="Times New Roman" w:hAnsi="Times New Roman"/>
        </w:rPr>
        <w:t xml:space="preserve"> what is called a “constant growth” rate</w:t>
      </w:r>
      <w:r w:rsidR="007555EE">
        <w:rPr>
          <w:rFonts w:ascii="Times New Roman" w:hAnsi="Times New Roman"/>
        </w:rPr>
        <w:t>,</w:t>
      </w:r>
      <w:r w:rsidRPr="000C3D42">
        <w:rPr>
          <w:rFonts w:ascii="Times New Roman" w:hAnsi="Times New Roman"/>
        </w:rPr>
        <w:t xml:space="preserve"> and adopt that </w:t>
      </w:r>
      <w:r w:rsidR="007555EE">
        <w:rPr>
          <w:rFonts w:ascii="Times New Roman" w:hAnsi="Times New Roman"/>
        </w:rPr>
        <w:t>single</w:t>
      </w:r>
      <w:r w:rsidRPr="000C3D42">
        <w:rPr>
          <w:rFonts w:ascii="Times New Roman" w:hAnsi="Times New Roman"/>
        </w:rPr>
        <w:t xml:space="preserve"> constant rate the sole growth rate for carrying out a DCF calculation.  In this proceeding, </w:t>
      </w:r>
      <w:r w:rsidR="007555EE">
        <w:rPr>
          <w:rFonts w:ascii="Times New Roman" w:hAnsi="Times New Roman"/>
        </w:rPr>
        <w:t xml:space="preserve">however, </w:t>
      </w:r>
      <w:r w:rsidRPr="000C3D42">
        <w:rPr>
          <w:rFonts w:ascii="Times New Roman" w:hAnsi="Times New Roman"/>
        </w:rPr>
        <w:t xml:space="preserve">all of the witnesses agree </w:t>
      </w:r>
      <w:r w:rsidR="007555EE">
        <w:rPr>
          <w:rFonts w:ascii="Times New Roman" w:hAnsi="Times New Roman"/>
        </w:rPr>
        <w:t xml:space="preserve">marketplace conditions are such that </w:t>
      </w:r>
      <w:r w:rsidRPr="000C3D42">
        <w:rPr>
          <w:rFonts w:ascii="Times New Roman" w:hAnsi="Times New Roman"/>
        </w:rPr>
        <w:t xml:space="preserve">one such simple rate is insufficient.  </w:t>
      </w:r>
      <w:r w:rsidR="007555EE">
        <w:rPr>
          <w:rFonts w:ascii="Times New Roman" w:hAnsi="Times New Roman"/>
        </w:rPr>
        <w:t xml:space="preserve">Thus, each of the witnesses has made </w:t>
      </w:r>
      <w:r w:rsidRPr="000C3D42">
        <w:rPr>
          <w:rFonts w:ascii="Times New Roman" w:hAnsi="Times New Roman"/>
        </w:rPr>
        <w:t>and presented several DCF studies,</w:t>
      </w:r>
      <w:r w:rsidR="007555EE">
        <w:rPr>
          <w:rFonts w:ascii="Times New Roman" w:hAnsi="Times New Roman"/>
        </w:rPr>
        <w:t xml:space="preserve"> each of which is based on a different growth rate or combination of growth rates. </w:t>
      </w:r>
    </w:p>
    <w:p w:rsidR="00663554" w:rsidRDefault="00663554" w:rsidP="000C3D42">
      <w:pPr>
        <w:spacing w:line="480" w:lineRule="auto"/>
        <w:rPr>
          <w:rFonts w:ascii="Times New Roman" w:hAnsi="Times New Roman"/>
          <w:u w:val="single"/>
        </w:rPr>
      </w:pPr>
    </w:p>
    <w:p w:rsidR="00F35AEF" w:rsidRDefault="00F35AEF" w:rsidP="000C3D42">
      <w:pPr>
        <w:spacing w:line="480" w:lineRule="auto"/>
        <w:rPr>
          <w:rFonts w:ascii="Times New Roman" w:hAnsi="Times New Roman"/>
          <w:b/>
        </w:rPr>
      </w:pPr>
    </w:p>
    <w:p w:rsidR="000C3D42" w:rsidRPr="00663554" w:rsidRDefault="00494D10" w:rsidP="000C3D42">
      <w:pPr>
        <w:spacing w:line="480" w:lineRule="auto"/>
        <w:rPr>
          <w:rFonts w:ascii="Times New Roman" w:hAnsi="Times New Roman"/>
          <w:b/>
        </w:rPr>
      </w:pPr>
      <w:r>
        <w:rPr>
          <w:rFonts w:ascii="Times New Roman" w:hAnsi="Times New Roman"/>
          <w:b/>
        </w:rPr>
        <w:t xml:space="preserve">c. </w:t>
      </w:r>
      <w:r w:rsidR="00AF43AE">
        <w:rPr>
          <w:rFonts w:ascii="Times New Roman" w:hAnsi="Times New Roman"/>
          <w:b/>
        </w:rPr>
        <w:t xml:space="preserve"> </w:t>
      </w:r>
      <w:r w:rsidR="000C3D42" w:rsidRPr="00663554">
        <w:rPr>
          <w:rFonts w:ascii="Times New Roman" w:hAnsi="Times New Roman"/>
          <w:b/>
        </w:rPr>
        <w:t>M</w:t>
      </w:r>
      <w:r w:rsidR="00663554">
        <w:rPr>
          <w:rFonts w:ascii="Times New Roman" w:hAnsi="Times New Roman"/>
          <w:b/>
        </w:rPr>
        <w:t>r.</w:t>
      </w:r>
      <w:r w:rsidR="000C3D42" w:rsidRPr="00663554">
        <w:rPr>
          <w:rFonts w:ascii="Times New Roman" w:hAnsi="Times New Roman"/>
          <w:b/>
        </w:rPr>
        <w:t xml:space="preserve"> G</w:t>
      </w:r>
      <w:r w:rsidR="00663554">
        <w:rPr>
          <w:rFonts w:ascii="Times New Roman" w:hAnsi="Times New Roman"/>
          <w:b/>
        </w:rPr>
        <w:t xml:space="preserve">orman’s DCF-Based Presentation </w:t>
      </w:r>
    </w:p>
    <w:p w:rsidR="000C3D42" w:rsidRPr="000C3D42" w:rsidRDefault="000C3D42" w:rsidP="00F35AEF">
      <w:pPr>
        <w:spacing w:line="480" w:lineRule="auto"/>
        <w:rPr>
          <w:rFonts w:ascii="Times New Roman" w:hAnsi="Times New Roman"/>
        </w:rPr>
      </w:pPr>
      <w:r w:rsidRPr="000C3D42">
        <w:rPr>
          <w:rFonts w:ascii="Times New Roman" w:hAnsi="Times New Roman"/>
        </w:rPr>
        <w:t>Mr. Michael Gorman, witness for the Midwest Energy Users Association, Missouri Industrial Energy Consumers, and the Department</w:t>
      </w:r>
      <w:r w:rsidR="00E26EE1">
        <w:rPr>
          <w:rFonts w:ascii="Times New Roman" w:hAnsi="Times New Roman"/>
        </w:rPr>
        <w:t>,</w:t>
      </w:r>
      <w:r w:rsidRPr="000C3D42">
        <w:rPr>
          <w:rFonts w:ascii="Times New Roman" w:hAnsi="Times New Roman"/>
        </w:rPr>
        <w:t xml:space="preserve"> presented a series of DCF models.</w:t>
      </w:r>
    </w:p>
    <w:p w:rsidR="00E26EE1" w:rsidRDefault="00E26EE1" w:rsidP="00A70129">
      <w:pPr>
        <w:spacing w:line="480" w:lineRule="auto"/>
        <w:ind w:firstLine="720"/>
        <w:rPr>
          <w:rFonts w:ascii="Times New Roman" w:hAnsi="Times New Roman"/>
          <w:i/>
        </w:rPr>
      </w:pPr>
    </w:p>
    <w:p w:rsidR="000C3D42" w:rsidRPr="009963A1" w:rsidRDefault="000C3D42" w:rsidP="00A70129">
      <w:pPr>
        <w:spacing w:line="480" w:lineRule="auto"/>
        <w:ind w:firstLine="720"/>
        <w:rPr>
          <w:rFonts w:ascii="Times New Roman" w:hAnsi="Times New Roman"/>
          <w:i/>
        </w:rPr>
      </w:pPr>
      <w:r w:rsidRPr="009963A1">
        <w:rPr>
          <w:rFonts w:ascii="Times New Roman" w:hAnsi="Times New Roman"/>
          <w:i/>
        </w:rPr>
        <w:t xml:space="preserve">DCF </w:t>
      </w:r>
      <w:r w:rsidR="000E3279" w:rsidRPr="009963A1">
        <w:rPr>
          <w:rFonts w:ascii="Times New Roman" w:hAnsi="Times New Roman"/>
          <w:i/>
        </w:rPr>
        <w:t xml:space="preserve">Calculation </w:t>
      </w:r>
      <w:r w:rsidRPr="009963A1">
        <w:rPr>
          <w:rFonts w:ascii="Times New Roman" w:hAnsi="Times New Roman"/>
          <w:i/>
        </w:rPr>
        <w:t xml:space="preserve">Based on “Constant Growth” Rate  </w:t>
      </w:r>
    </w:p>
    <w:p w:rsidR="000C3D42" w:rsidRPr="000C3D42" w:rsidRDefault="000C3D42" w:rsidP="00E26EE1">
      <w:pPr>
        <w:spacing w:line="480" w:lineRule="auto"/>
        <w:rPr>
          <w:rFonts w:ascii="Times New Roman" w:hAnsi="Times New Roman"/>
        </w:rPr>
      </w:pPr>
      <w:r w:rsidRPr="000C3D42">
        <w:rPr>
          <w:rFonts w:ascii="Times New Roman" w:hAnsi="Times New Roman"/>
        </w:rPr>
        <w:t>Mr. Gorman calculated a constant growth rate on the basis of an average of professional security analysts’ earnings growth estimates. (G</w:t>
      </w:r>
      <w:r w:rsidR="006F4613">
        <w:rPr>
          <w:rFonts w:ascii="Times New Roman" w:hAnsi="Times New Roman"/>
        </w:rPr>
        <w:t xml:space="preserve">orman Direct, </w:t>
      </w:r>
      <w:r w:rsidRPr="000C3D42">
        <w:rPr>
          <w:rFonts w:ascii="Times New Roman" w:hAnsi="Times New Roman"/>
        </w:rPr>
        <w:t>18)  From these he calculated an average growth rate of 5.68%</w:t>
      </w:r>
      <w:r w:rsidR="00A21D42">
        <w:rPr>
          <w:rFonts w:ascii="Times New Roman" w:hAnsi="Times New Roman"/>
        </w:rPr>
        <w:t>,</w:t>
      </w:r>
      <w:r w:rsidRPr="000C3D42">
        <w:rPr>
          <w:rFonts w:ascii="Times New Roman" w:hAnsi="Times New Roman"/>
        </w:rPr>
        <w:t xml:space="preserve"> a median growth rate of 5.41%.</w:t>
      </w:r>
      <w:r w:rsidR="00A21D42">
        <w:rPr>
          <w:rFonts w:ascii="Times New Roman" w:hAnsi="Times New Roman"/>
        </w:rPr>
        <w:t xml:space="preserve">, and a resultant </w:t>
      </w:r>
      <w:r w:rsidRPr="000C3D42">
        <w:rPr>
          <w:rFonts w:ascii="Times New Roman" w:hAnsi="Times New Roman"/>
        </w:rPr>
        <w:t xml:space="preserve">ROE </w:t>
      </w:r>
      <w:r w:rsidR="000E3279">
        <w:rPr>
          <w:rFonts w:ascii="Times New Roman" w:hAnsi="Times New Roman"/>
        </w:rPr>
        <w:t xml:space="preserve">range </w:t>
      </w:r>
      <w:r w:rsidRPr="000C3D42">
        <w:rPr>
          <w:rFonts w:ascii="Times New Roman" w:hAnsi="Times New Roman"/>
        </w:rPr>
        <w:t>of 10.39% to 10.48%. (G</w:t>
      </w:r>
      <w:r w:rsidR="004C06CC">
        <w:rPr>
          <w:rFonts w:ascii="Times New Roman" w:hAnsi="Times New Roman"/>
        </w:rPr>
        <w:t>orman Direct,</w:t>
      </w:r>
      <w:r w:rsidRPr="000C3D42">
        <w:rPr>
          <w:rFonts w:ascii="Times New Roman" w:hAnsi="Times New Roman"/>
        </w:rPr>
        <w:t xml:space="preserve"> 20) </w:t>
      </w:r>
    </w:p>
    <w:p w:rsidR="00E26EE1" w:rsidRDefault="00E26EE1" w:rsidP="00A70129">
      <w:pPr>
        <w:spacing w:line="480" w:lineRule="auto"/>
        <w:ind w:firstLine="720"/>
        <w:rPr>
          <w:rFonts w:ascii="Times New Roman" w:hAnsi="Times New Roman"/>
          <w:i/>
        </w:rPr>
      </w:pPr>
    </w:p>
    <w:p w:rsidR="000C3D42" w:rsidRPr="009963A1" w:rsidRDefault="000C3D42" w:rsidP="00A70129">
      <w:pPr>
        <w:spacing w:line="480" w:lineRule="auto"/>
        <w:ind w:firstLine="720"/>
        <w:rPr>
          <w:rFonts w:ascii="Times New Roman" w:hAnsi="Times New Roman"/>
          <w:i/>
        </w:rPr>
      </w:pPr>
      <w:r w:rsidRPr="009963A1">
        <w:rPr>
          <w:rFonts w:ascii="Times New Roman" w:hAnsi="Times New Roman"/>
          <w:i/>
        </w:rPr>
        <w:t xml:space="preserve">DCF </w:t>
      </w:r>
      <w:r w:rsidR="000E3279" w:rsidRPr="009963A1">
        <w:rPr>
          <w:rFonts w:ascii="Times New Roman" w:hAnsi="Times New Roman"/>
          <w:i/>
        </w:rPr>
        <w:t xml:space="preserve">Calculation </w:t>
      </w:r>
      <w:r w:rsidRPr="009963A1">
        <w:rPr>
          <w:rFonts w:ascii="Times New Roman" w:hAnsi="Times New Roman"/>
          <w:i/>
        </w:rPr>
        <w:t xml:space="preserve">Based on “Sustainable” Growth Rate </w:t>
      </w:r>
    </w:p>
    <w:p w:rsidR="000C3D42" w:rsidRPr="000C3D42" w:rsidRDefault="000C3D42" w:rsidP="00E26EE1">
      <w:pPr>
        <w:spacing w:line="480" w:lineRule="auto"/>
        <w:ind w:firstLine="90"/>
        <w:rPr>
          <w:rFonts w:ascii="Times New Roman" w:hAnsi="Times New Roman"/>
        </w:rPr>
      </w:pPr>
      <w:r w:rsidRPr="000C3D42">
        <w:rPr>
          <w:rFonts w:ascii="Times New Roman" w:hAnsi="Times New Roman"/>
        </w:rPr>
        <w:t>Mr. Gorman explained that neither th</w:t>
      </w:r>
      <w:r w:rsidR="00A21D42">
        <w:rPr>
          <w:rFonts w:ascii="Times New Roman" w:hAnsi="Times New Roman"/>
        </w:rPr>
        <w:t>is</w:t>
      </w:r>
      <w:r w:rsidRPr="000C3D42">
        <w:rPr>
          <w:rFonts w:ascii="Times New Roman" w:hAnsi="Times New Roman"/>
        </w:rPr>
        <w:t xml:space="preserve"> nor any “constant” growth rate can be sustained over a term longer than three to five years because, among other things, such “constant” growth rates significantly exceed the average consensus anticipated growth rate of 4.75% that is forecast for the Nation’s gross domestic product (</w:t>
      </w:r>
      <w:r w:rsidR="00A21D42">
        <w:rPr>
          <w:rFonts w:ascii="Times New Roman" w:hAnsi="Times New Roman"/>
        </w:rPr>
        <w:t>“</w:t>
      </w:r>
      <w:r w:rsidRPr="000C3D42">
        <w:rPr>
          <w:rFonts w:ascii="Times New Roman" w:hAnsi="Times New Roman"/>
        </w:rPr>
        <w:t>GDP</w:t>
      </w:r>
      <w:r w:rsidR="00A21D42">
        <w:rPr>
          <w:rFonts w:ascii="Times New Roman" w:hAnsi="Times New Roman"/>
        </w:rPr>
        <w:t>”</w:t>
      </w:r>
      <w:r w:rsidRPr="000C3D42">
        <w:rPr>
          <w:rFonts w:ascii="Times New Roman" w:hAnsi="Times New Roman"/>
        </w:rPr>
        <w:t>). (G</w:t>
      </w:r>
      <w:r w:rsidR="004C06CC">
        <w:rPr>
          <w:rFonts w:ascii="Times New Roman" w:hAnsi="Times New Roman"/>
        </w:rPr>
        <w:t>orman Direct</w:t>
      </w:r>
      <w:r w:rsidRPr="000C3D42">
        <w:rPr>
          <w:rFonts w:ascii="Times New Roman" w:hAnsi="Times New Roman"/>
        </w:rPr>
        <w:t xml:space="preserve"> 20-23, 26)   In line with this, Mr.  Gorman </w:t>
      </w:r>
      <w:r w:rsidR="00A21D42">
        <w:rPr>
          <w:rFonts w:ascii="Times New Roman" w:hAnsi="Times New Roman"/>
        </w:rPr>
        <w:t xml:space="preserve">developed and </w:t>
      </w:r>
      <w:r w:rsidRPr="000C3D42">
        <w:rPr>
          <w:rFonts w:ascii="Times New Roman" w:hAnsi="Times New Roman"/>
        </w:rPr>
        <w:t>adopted “sustainable” growth rate</w:t>
      </w:r>
      <w:r w:rsidR="00A21D42">
        <w:rPr>
          <w:rFonts w:ascii="Times New Roman" w:hAnsi="Times New Roman"/>
        </w:rPr>
        <w:t xml:space="preserve"> that is</w:t>
      </w:r>
      <w:r w:rsidRPr="000C3D42">
        <w:rPr>
          <w:rFonts w:ascii="Times New Roman" w:hAnsi="Times New Roman"/>
        </w:rPr>
        <w:t xml:space="preserve"> based </w:t>
      </w:r>
      <w:r w:rsidR="00A21D42">
        <w:rPr>
          <w:rFonts w:ascii="Times New Roman" w:hAnsi="Times New Roman"/>
        </w:rPr>
        <w:t xml:space="preserve">on </w:t>
      </w:r>
      <w:r w:rsidRPr="000C3D42">
        <w:rPr>
          <w:rFonts w:ascii="Times New Roman" w:hAnsi="Times New Roman"/>
        </w:rPr>
        <w:t>an “internal growth” methodology which measures the p</w:t>
      </w:r>
      <w:r w:rsidR="00A21D42">
        <w:rPr>
          <w:rFonts w:ascii="Times New Roman" w:hAnsi="Times New Roman"/>
        </w:rPr>
        <w:t>ortion</w:t>
      </w:r>
      <w:r w:rsidRPr="000C3D42">
        <w:rPr>
          <w:rFonts w:ascii="Times New Roman" w:hAnsi="Times New Roman"/>
        </w:rPr>
        <w:t xml:space="preserve"> of utility earnings that </w:t>
      </w:r>
      <w:r w:rsidR="00A21D42">
        <w:rPr>
          <w:rFonts w:ascii="Times New Roman" w:hAnsi="Times New Roman"/>
        </w:rPr>
        <w:t>is</w:t>
      </w:r>
      <w:r w:rsidRPr="000C3D42">
        <w:rPr>
          <w:rFonts w:ascii="Times New Roman" w:hAnsi="Times New Roman"/>
        </w:rPr>
        <w:t xml:space="preserve"> retained and reinvested. </w:t>
      </w:r>
      <w:r w:rsidR="00A21D42">
        <w:rPr>
          <w:rFonts w:ascii="Times New Roman" w:hAnsi="Times New Roman"/>
        </w:rPr>
        <w:t xml:space="preserve"> </w:t>
      </w:r>
      <w:r w:rsidRPr="000C3D42">
        <w:rPr>
          <w:rFonts w:ascii="Times New Roman" w:hAnsi="Times New Roman"/>
        </w:rPr>
        <w:t xml:space="preserve">He based this on current market-to-book ratio and the </w:t>
      </w:r>
      <w:r w:rsidRPr="000C3D42">
        <w:rPr>
          <w:rFonts w:ascii="Times New Roman" w:hAnsi="Times New Roman"/>
          <w:i/>
        </w:rPr>
        <w:t>Value Line</w:t>
      </w:r>
      <w:r w:rsidRPr="000C3D42">
        <w:rPr>
          <w:rFonts w:ascii="Times New Roman" w:hAnsi="Times New Roman"/>
        </w:rPr>
        <w:t>’s three to five year projections. (G</w:t>
      </w:r>
      <w:r w:rsidR="004C06CC">
        <w:rPr>
          <w:rFonts w:ascii="Times New Roman" w:hAnsi="Times New Roman"/>
        </w:rPr>
        <w:t xml:space="preserve">orman </w:t>
      </w:r>
      <w:r w:rsidRPr="000C3D42">
        <w:rPr>
          <w:rFonts w:ascii="Times New Roman" w:hAnsi="Times New Roman"/>
        </w:rPr>
        <w:t>D</w:t>
      </w:r>
      <w:r w:rsidR="004C06CC">
        <w:rPr>
          <w:rFonts w:ascii="Times New Roman" w:hAnsi="Times New Roman"/>
        </w:rPr>
        <w:t xml:space="preserve">irect, </w:t>
      </w:r>
      <w:r w:rsidRPr="000C3D42">
        <w:rPr>
          <w:rFonts w:ascii="Times New Roman" w:hAnsi="Times New Roman"/>
        </w:rPr>
        <w:t>23)   From this, he calculated average and median sustainable growth rates of 4.92% and 4.59%, respectively</w:t>
      </w:r>
      <w:r w:rsidR="00A21D42">
        <w:rPr>
          <w:rFonts w:ascii="Times New Roman" w:hAnsi="Times New Roman"/>
        </w:rPr>
        <w:t xml:space="preserve">, and resultant ROEs of 9.74% and 9.38%, respectively. </w:t>
      </w:r>
      <w:r w:rsidRPr="000C3D42">
        <w:rPr>
          <w:rFonts w:ascii="Times New Roman" w:hAnsi="Times New Roman"/>
        </w:rPr>
        <w:t>(G</w:t>
      </w:r>
      <w:r w:rsidR="004C06CC">
        <w:rPr>
          <w:rFonts w:ascii="Times New Roman" w:hAnsi="Times New Roman"/>
        </w:rPr>
        <w:t>orman Direct,</w:t>
      </w:r>
      <w:r w:rsidRPr="000C3D42">
        <w:rPr>
          <w:rFonts w:ascii="Times New Roman" w:hAnsi="Times New Roman"/>
        </w:rPr>
        <w:t xml:space="preserve"> 23-24) </w:t>
      </w:r>
    </w:p>
    <w:p w:rsidR="00E26EE1" w:rsidRDefault="00E26EE1" w:rsidP="00A70129">
      <w:pPr>
        <w:spacing w:line="480" w:lineRule="auto"/>
        <w:ind w:firstLine="720"/>
        <w:rPr>
          <w:rFonts w:ascii="Times New Roman" w:hAnsi="Times New Roman"/>
          <w:i/>
        </w:rPr>
      </w:pPr>
    </w:p>
    <w:p w:rsidR="000C3D42" w:rsidRPr="009963A1" w:rsidRDefault="000C3D42" w:rsidP="00A70129">
      <w:pPr>
        <w:spacing w:line="480" w:lineRule="auto"/>
        <w:ind w:firstLine="720"/>
        <w:rPr>
          <w:rFonts w:ascii="Times New Roman" w:hAnsi="Times New Roman"/>
          <w:i/>
        </w:rPr>
      </w:pPr>
      <w:r w:rsidRPr="009963A1">
        <w:rPr>
          <w:rFonts w:ascii="Times New Roman" w:hAnsi="Times New Roman"/>
          <w:i/>
        </w:rPr>
        <w:t xml:space="preserve">DCF </w:t>
      </w:r>
      <w:r w:rsidR="00A21D42" w:rsidRPr="009963A1">
        <w:rPr>
          <w:rFonts w:ascii="Times New Roman" w:hAnsi="Times New Roman"/>
          <w:i/>
        </w:rPr>
        <w:t xml:space="preserve">Calculation </w:t>
      </w:r>
      <w:r w:rsidRPr="009963A1">
        <w:rPr>
          <w:rFonts w:ascii="Times New Roman" w:hAnsi="Times New Roman"/>
          <w:i/>
        </w:rPr>
        <w:t>Based on “Multi-Stage” Growth Rates</w:t>
      </w:r>
    </w:p>
    <w:p w:rsidR="000C3D42" w:rsidRPr="000C3D42" w:rsidRDefault="000C3D42" w:rsidP="00E26EE1">
      <w:pPr>
        <w:spacing w:line="480" w:lineRule="auto"/>
        <w:rPr>
          <w:rFonts w:ascii="Times New Roman" w:hAnsi="Times New Roman"/>
        </w:rPr>
      </w:pPr>
      <w:r w:rsidRPr="000C3D42">
        <w:rPr>
          <w:rFonts w:ascii="Times New Roman" w:hAnsi="Times New Roman"/>
        </w:rPr>
        <w:t xml:space="preserve">Mr. Gorman’s presented a DCF model which reflected three </w:t>
      </w:r>
      <w:r w:rsidR="00A21D42">
        <w:rPr>
          <w:rFonts w:ascii="Times New Roman" w:hAnsi="Times New Roman"/>
        </w:rPr>
        <w:t xml:space="preserve">growth </w:t>
      </w:r>
      <w:r w:rsidRPr="000C3D42">
        <w:rPr>
          <w:rFonts w:ascii="Times New Roman" w:hAnsi="Times New Roman"/>
        </w:rPr>
        <w:t xml:space="preserve">stages: (1) short term, years one through five; (2) transition </w:t>
      </w:r>
      <w:r w:rsidR="00A21D42">
        <w:rPr>
          <w:rFonts w:ascii="Times New Roman" w:hAnsi="Times New Roman"/>
        </w:rPr>
        <w:t>stage</w:t>
      </w:r>
      <w:r w:rsidRPr="000C3D42">
        <w:rPr>
          <w:rFonts w:ascii="Times New Roman" w:hAnsi="Times New Roman"/>
        </w:rPr>
        <w:t xml:space="preserve">, years six to ten; (3) long term, year eleven through perpetuity. </w:t>
      </w:r>
    </w:p>
    <w:p w:rsidR="00E26EE1" w:rsidRDefault="00E26EE1" w:rsidP="009A75FC">
      <w:pPr>
        <w:spacing w:line="480" w:lineRule="auto"/>
        <w:ind w:firstLine="720"/>
        <w:rPr>
          <w:rFonts w:ascii="Times New Roman" w:hAnsi="Times New Roman"/>
        </w:rPr>
      </w:pPr>
    </w:p>
    <w:p w:rsidR="000C3D42" w:rsidRPr="000C3D42" w:rsidRDefault="000C3D42" w:rsidP="00E26EE1">
      <w:pPr>
        <w:spacing w:line="480" w:lineRule="auto"/>
        <w:rPr>
          <w:rFonts w:ascii="Times New Roman" w:hAnsi="Times New Roman"/>
        </w:rPr>
      </w:pPr>
      <w:r w:rsidRPr="000C3D42">
        <w:rPr>
          <w:rFonts w:ascii="Times New Roman" w:hAnsi="Times New Roman"/>
        </w:rPr>
        <w:t xml:space="preserve">For the first stage, he relied upon the “constant growth” rate described above.  </w:t>
      </w:r>
    </w:p>
    <w:p w:rsidR="000C3D42" w:rsidRPr="000C3D42" w:rsidRDefault="000C3D42" w:rsidP="000C3D42">
      <w:pPr>
        <w:spacing w:line="480" w:lineRule="auto"/>
        <w:rPr>
          <w:rFonts w:ascii="Times New Roman" w:hAnsi="Times New Roman"/>
        </w:rPr>
      </w:pPr>
      <w:r w:rsidRPr="000C3D42">
        <w:rPr>
          <w:rFonts w:ascii="Times New Roman" w:hAnsi="Times New Roman"/>
        </w:rPr>
        <w:t xml:space="preserve">For </w:t>
      </w:r>
      <w:r w:rsidR="00661FF7">
        <w:rPr>
          <w:rFonts w:ascii="Times New Roman" w:hAnsi="Times New Roman"/>
        </w:rPr>
        <w:t xml:space="preserve">each of the years in </w:t>
      </w:r>
      <w:r w:rsidRPr="000C3D42">
        <w:rPr>
          <w:rFonts w:ascii="Times New Roman" w:hAnsi="Times New Roman"/>
        </w:rPr>
        <w:t xml:space="preserve">the second or “transition” stage, years six to ten, he </w:t>
      </w:r>
      <w:r w:rsidR="00A21D42">
        <w:rPr>
          <w:rFonts w:ascii="Times New Roman" w:hAnsi="Times New Roman"/>
        </w:rPr>
        <w:t>applied an equal annual factor to</w:t>
      </w:r>
      <w:r w:rsidRPr="000C3D42">
        <w:rPr>
          <w:rFonts w:ascii="Times New Roman" w:hAnsi="Times New Roman"/>
        </w:rPr>
        <w:t xml:space="preserve"> </w:t>
      </w:r>
      <w:r w:rsidR="00A21D42">
        <w:rPr>
          <w:rFonts w:ascii="Times New Roman" w:hAnsi="Times New Roman"/>
        </w:rPr>
        <w:t>the</w:t>
      </w:r>
      <w:r w:rsidRPr="000C3D42">
        <w:rPr>
          <w:rFonts w:ascii="Times New Roman" w:hAnsi="Times New Roman"/>
        </w:rPr>
        <w:t xml:space="preserve"> constant growth rate</w:t>
      </w:r>
      <w:r w:rsidR="00661FF7">
        <w:rPr>
          <w:rFonts w:ascii="Times New Roman" w:hAnsi="Times New Roman"/>
        </w:rPr>
        <w:t xml:space="preserve">.  This </w:t>
      </w:r>
      <w:r w:rsidRPr="000C3D42">
        <w:rPr>
          <w:rFonts w:ascii="Times New Roman" w:hAnsi="Times New Roman"/>
        </w:rPr>
        <w:t>gradually reduced th</w:t>
      </w:r>
      <w:r w:rsidR="00661FF7">
        <w:rPr>
          <w:rFonts w:ascii="Times New Roman" w:hAnsi="Times New Roman"/>
        </w:rPr>
        <w:t>e constant</w:t>
      </w:r>
      <w:r w:rsidRPr="000C3D42">
        <w:rPr>
          <w:rFonts w:ascii="Times New Roman" w:hAnsi="Times New Roman"/>
        </w:rPr>
        <w:t xml:space="preserve"> rate to a maximum sustainable growth rate of 4.75%, the above-discussed projected growth rate for the Nation’s gross domestic product.  </w:t>
      </w:r>
      <w:r w:rsidR="00661FF7">
        <w:rPr>
          <w:rFonts w:ascii="Times New Roman" w:hAnsi="Times New Roman"/>
        </w:rPr>
        <w:t>This multi-stage DCF calculation</w:t>
      </w:r>
      <w:r w:rsidRPr="000C3D42">
        <w:rPr>
          <w:rFonts w:ascii="Times New Roman" w:hAnsi="Times New Roman"/>
        </w:rPr>
        <w:t xml:space="preserve"> produced average and median ROEs of 9.78% and 9.86%, </w:t>
      </w:r>
      <w:r w:rsidR="008F43DF" w:rsidRPr="000C3D42">
        <w:rPr>
          <w:rFonts w:ascii="Times New Roman" w:hAnsi="Times New Roman"/>
        </w:rPr>
        <w:t>respectively</w:t>
      </w:r>
      <w:r w:rsidRPr="000C3D42">
        <w:rPr>
          <w:rFonts w:ascii="Times New Roman" w:hAnsi="Times New Roman"/>
        </w:rPr>
        <w:t>. (G</w:t>
      </w:r>
      <w:r w:rsidR="004C06CC">
        <w:rPr>
          <w:rFonts w:ascii="Times New Roman" w:hAnsi="Times New Roman"/>
        </w:rPr>
        <w:t xml:space="preserve">orman Direct, </w:t>
      </w:r>
      <w:r w:rsidR="00661FF7">
        <w:rPr>
          <w:rFonts w:ascii="Times New Roman" w:hAnsi="Times New Roman"/>
        </w:rPr>
        <w:t>25-</w:t>
      </w:r>
      <w:r w:rsidRPr="000C3D42">
        <w:rPr>
          <w:rFonts w:ascii="Times New Roman" w:hAnsi="Times New Roman"/>
        </w:rPr>
        <w:t xml:space="preserve">26)   </w:t>
      </w:r>
      <w:r w:rsidRPr="000C3D42">
        <w:rPr>
          <w:rFonts w:ascii="Times New Roman" w:hAnsi="Times New Roman"/>
          <w:i/>
        </w:rPr>
        <w:t xml:space="preserve"> </w:t>
      </w:r>
    </w:p>
    <w:p w:rsidR="00661FF7" w:rsidRDefault="00661FF7" w:rsidP="000C3D42">
      <w:pPr>
        <w:spacing w:line="480" w:lineRule="auto"/>
        <w:rPr>
          <w:rFonts w:ascii="Times New Roman" w:hAnsi="Times New Roman"/>
          <w:b/>
        </w:rPr>
      </w:pPr>
    </w:p>
    <w:p w:rsidR="000C3D42" w:rsidRPr="006F6988" w:rsidRDefault="00661FF7" w:rsidP="000C3D42">
      <w:pPr>
        <w:spacing w:line="480" w:lineRule="auto"/>
        <w:rPr>
          <w:rFonts w:ascii="Times New Roman" w:hAnsi="Times New Roman"/>
          <w:i/>
        </w:rPr>
      </w:pPr>
      <w:r w:rsidRPr="006F6988">
        <w:rPr>
          <w:rFonts w:ascii="Times New Roman" w:hAnsi="Times New Roman"/>
          <w:i/>
        </w:rPr>
        <w:t xml:space="preserve">Mr. </w:t>
      </w:r>
      <w:r w:rsidR="000C3D42" w:rsidRPr="006F6988">
        <w:rPr>
          <w:rFonts w:ascii="Times New Roman" w:hAnsi="Times New Roman"/>
          <w:i/>
        </w:rPr>
        <w:t xml:space="preserve">Gorman’s </w:t>
      </w:r>
      <w:r w:rsidR="00494D10" w:rsidRPr="006F6988">
        <w:rPr>
          <w:rFonts w:ascii="Times New Roman" w:hAnsi="Times New Roman"/>
          <w:i/>
        </w:rPr>
        <w:t xml:space="preserve">Final </w:t>
      </w:r>
      <w:r w:rsidR="00663554" w:rsidRPr="006F6988">
        <w:rPr>
          <w:rFonts w:ascii="Times New Roman" w:hAnsi="Times New Roman"/>
          <w:i/>
        </w:rPr>
        <w:t xml:space="preserve">DCF-Based </w:t>
      </w:r>
      <w:r w:rsidR="00494D10" w:rsidRPr="006F6988">
        <w:rPr>
          <w:rFonts w:ascii="Times New Roman" w:hAnsi="Times New Roman"/>
          <w:i/>
        </w:rPr>
        <w:t>ROE Recommendation</w:t>
      </w:r>
      <w:r w:rsidR="000C3D42" w:rsidRPr="006F6988">
        <w:rPr>
          <w:rFonts w:ascii="Times New Roman" w:hAnsi="Times New Roman"/>
          <w:i/>
        </w:rPr>
        <w:t xml:space="preserve"> </w:t>
      </w:r>
    </w:p>
    <w:p w:rsidR="00EC67F0" w:rsidRPr="000C3D42" w:rsidRDefault="00AF43AE" w:rsidP="00E26EE1">
      <w:pPr>
        <w:spacing w:line="480" w:lineRule="auto"/>
        <w:rPr>
          <w:rFonts w:ascii="Times New Roman" w:hAnsi="Times New Roman"/>
        </w:rPr>
      </w:pPr>
      <w:r>
        <w:rPr>
          <w:rFonts w:ascii="Times New Roman" w:hAnsi="Times New Roman"/>
        </w:rPr>
        <w:t xml:space="preserve">     </w:t>
      </w:r>
      <w:r w:rsidR="000C3D42" w:rsidRPr="000C3D42">
        <w:rPr>
          <w:rFonts w:ascii="Times New Roman" w:hAnsi="Times New Roman"/>
        </w:rPr>
        <w:t xml:space="preserve">To produce his final DCF-based ROE recommendation, Mr. Gorman averaged the </w:t>
      </w:r>
      <w:r w:rsidR="009A75FC">
        <w:rPr>
          <w:rFonts w:ascii="Times New Roman" w:hAnsi="Times New Roman"/>
        </w:rPr>
        <w:t xml:space="preserve">results of </w:t>
      </w:r>
      <w:r w:rsidR="008652B0">
        <w:rPr>
          <w:rFonts w:ascii="Times New Roman" w:hAnsi="Times New Roman"/>
        </w:rPr>
        <w:t xml:space="preserve">his </w:t>
      </w:r>
      <w:r w:rsidR="008652B0" w:rsidRPr="000C3D42">
        <w:rPr>
          <w:rFonts w:ascii="Times New Roman" w:hAnsi="Times New Roman"/>
        </w:rPr>
        <w:t>constant</w:t>
      </w:r>
      <w:r w:rsidR="000C3D42" w:rsidRPr="000C3D42">
        <w:rPr>
          <w:rFonts w:ascii="Times New Roman" w:hAnsi="Times New Roman"/>
        </w:rPr>
        <w:t xml:space="preserve"> </w:t>
      </w:r>
      <w:r w:rsidR="00661FF7">
        <w:rPr>
          <w:rFonts w:ascii="Times New Roman" w:hAnsi="Times New Roman"/>
        </w:rPr>
        <w:t>growth,</w:t>
      </w:r>
      <w:r w:rsidR="000C3D42" w:rsidRPr="000C3D42">
        <w:rPr>
          <w:rFonts w:ascii="Times New Roman" w:hAnsi="Times New Roman"/>
        </w:rPr>
        <w:t xml:space="preserve"> sustainable growth, and </w:t>
      </w:r>
      <w:r w:rsidR="00661FF7">
        <w:rPr>
          <w:rFonts w:ascii="Times New Roman" w:hAnsi="Times New Roman"/>
        </w:rPr>
        <w:t>m</w:t>
      </w:r>
      <w:r w:rsidR="000C3D42" w:rsidRPr="000C3D42">
        <w:rPr>
          <w:rFonts w:ascii="Times New Roman" w:hAnsi="Times New Roman"/>
        </w:rPr>
        <w:t>ulti-stage growth</w:t>
      </w:r>
      <w:r w:rsidR="00661FF7">
        <w:rPr>
          <w:rFonts w:ascii="Times New Roman" w:hAnsi="Times New Roman"/>
        </w:rPr>
        <w:t xml:space="preserve"> </w:t>
      </w:r>
      <w:r w:rsidR="000C3D42" w:rsidRPr="000C3D42">
        <w:rPr>
          <w:rFonts w:ascii="Times New Roman" w:hAnsi="Times New Roman"/>
        </w:rPr>
        <w:t>DCF models to calculate an overall recomme</w:t>
      </w:r>
      <w:r w:rsidR="009A75FC">
        <w:rPr>
          <w:rFonts w:ascii="Times New Roman" w:hAnsi="Times New Roman"/>
        </w:rPr>
        <w:t>n</w:t>
      </w:r>
      <w:r w:rsidR="000C3D42" w:rsidRPr="000C3D42">
        <w:rPr>
          <w:rFonts w:ascii="Times New Roman" w:hAnsi="Times New Roman"/>
        </w:rPr>
        <w:t>ded DCF-based ROE of 9.88%. (G</w:t>
      </w:r>
      <w:r w:rsidR="004C06CC">
        <w:rPr>
          <w:rFonts w:ascii="Times New Roman" w:hAnsi="Times New Roman"/>
        </w:rPr>
        <w:t>orman Direct,</w:t>
      </w:r>
      <w:r w:rsidR="000C3D42" w:rsidRPr="000C3D42">
        <w:rPr>
          <w:rFonts w:ascii="Times New Roman" w:hAnsi="Times New Roman"/>
        </w:rPr>
        <w:t xml:space="preserve"> 27) </w:t>
      </w:r>
    </w:p>
    <w:p w:rsidR="00663554" w:rsidRDefault="00663554" w:rsidP="00AF43AE">
      <w:pPr>
        <w:spacing w:line="480" w:lineRule="auto"/>
        <w:ind w:firstLine="90"/>
        <w:rPr>
          <w:rFonts w:ascii="Times New Roman" w:hAnsi="Times New Roman"/>
          <w:b/>
        </w:rPr>
      </w:pPr>
    </w:p>
    <w:p w:rsidR="004C06CC" w:rsidRDefault="004C06CC" w:rsidP="000C3D42">
      <w:pPr>
        <w:spacing w:line="480" w:lineRule="auto"/>
        <w:rPr>
          <w:rFonts w:ascii="Times New Roman" w:hAnsi="Times New Roman"/>
          <w:b/>
        </w:rPr>
      </w:pPr>
    </w:p>
    <w:p w:rsidR="000C3D42" w:rsidRPr="009A75FC" w:rsidRDefault="00494D10" w:rsidP="000C3D42">
      <w:pPr>
        <w:spacing w:line="480" w:lineRule="auto"/>
        <w:rPr>
          <w:rFonts w:ascii="Times New Roman" w:hAnsi="Times New Roman"/>
          <w:b/>
        </w:rPr>
      </w:pPr>
      <w:r>
        <w:rPr>
          <w:rFonts w:ascii="Times New Roman" w:hAnsi="Times New Roman"/>
          <w:b/>
        </w:rPr>
        <w:t xml:space="preserve">d. </w:t>
      </w:r>
      <w:r w:rsidR="006F6988">
        <w:rPr>
          <w:rFonts w:ascii="Times New Roman" w:hAnsi="Times New Roman"/>
          <w:b/>
        </w:rPr>
        <w:t xml:space="preserve"> </w:t>
      </w:r>
      <w:r w:rsidR="000C3D42" w:rsidRPr="009A75FC">
        <w:rPr>
          <w:rFonts w:ascii="Times New Roman" w:hAnsi="Times New Roman"/>
          <w:b/>
        </w:rPr>
        <w:t xml:space="preserve">Dr. Hadaway’s </w:t>
      </w:r>
      <w:r w:rsidR="00663554">
        <w:rPr>
          <w:rFonts w:ascii="Times New Roman" w:hAnsi="Times New Roman"/>
          <w:b/>
        </w:rPr>
        <w:t xml:space="preserve">DCF-Based Presentation </w:t>
      </w:r>
      <w:r w:rsidR="00661FF7">
        <w:rPr>
          <w:rFonts w:ascii="Times New Roman" w:hAnsi="Times New Roman"/>
          <w:b/>
        </w:rPr>
        <w:t xml:space="preserve"> </w:t>
      </w:r>
    </w:p>
    <w:p w:rsidR="000C3D42" w:rsidRPr="000C3D42" w:rsidRDefault="000C3D42" w:rsidP="00AF43AE">
      <w:pPr>
        <w:spacing w:line="480" w:lineRule="auto"/>
        <w:rPr>
          <w:rFonts w:ascii="Times New Roman" w:hAnsi="Times New Roman"/>
        </w:rPr>
      </w:pPr>
      <w:r w:rsidRPr="000C3D42">
        <w:rPr>
          <w:rFonts w:ascii="Times New Roman" w:hAnsi="Times New Roman"/>
        </w:rPr>
        <w:t>Testifying for the Company</w:t>
      </w:r>
      <w:r w:rsidR="00661FF7">
        <w:rPr>
          <w:rFonts w:ascii="Times New Roman" w:hAnsi="Times New Roman"/>
        </w:rPr>
        <w:t>,</w:t>
      </w:r>
      <w:r w:rsidRPr="000C3D42">
        <w:rPr>
          <w:rFonts w:ascii="Times New Roman" w:hAnsi="Times New Roman"/>
        </w:rPr>
        <w:t xml:space="preserve"> Dr. </w:t>
      </w:r>
      <w:r w:rsidR="008F43DF" w:rsidRPr="000C3D42">
        <w:rPr>
          <w:rFonts w:ascii="Times New Roman" w:hAnsi="Times New Roman"/>
        </w:rPr>
        <w:t>Samuel</w:t>
      </w:r>
      <w:r w:rsidRPr="000C3D42">
        <w:rPr>
          <w:rFonts w:ascii="Times New Roman" w:hAnsi="Times New Roman"/>
        </w:rPr>
        <w:t xml:space="preserve"> Hadaway produced three versions of DCF analysis. </w:t>
      </w:r>
      <w:r w:rsidR="00A131A1">
        <w:rPr>
          <w:rFonts w:ascii="Times New Roman" w:hAnsi="Times New Roman"/>
        </w:rPr>
        <w:t>(Hadaway Direct, 39</w:t>
      </w:r>
      <w:r w:rsidR="00661FF7">
        <w:rPr>
          <w:rFonts w:ascii="Times New Roman" w:hAnsi="Times New Roman"/>
        </w:rPr>
        <w:t>-44)</w:t>
      </w:r>
      <w:r w:rsidRPr="000C3D42">
        <w:rPr>
          <w:rFonts w:ascii="Times New Roman" w:hAnsi="Times New Roman"/>
        </w:rPr>
        <w:t xml:space="preserve"> </w:t>
      </w:r>
      <w:r w:rsidR="00661FF7">
        <w:rPr>
          <w:rFonts w:ascii="Times New Roman" w:hAnsi="Times New Roman"/>
        </w:rPr>
        <w:t xml:space="preserve"> </w:t>
      </w:r>
      <w:r w:rsidRPr="000C3D42">
        <w:rPr>
          <w:rFonts w:ascii="Times New Roman" w:hAnsi="Times New Roman"/>
        </w:rPr>
        <w:t xml:space="preserve">His first version was based on two different constant growth rates.  The first such rate </w:t>
      </w:r>
      <w:r w:rsidR="008652B0" w:rsidRPr="000C3D42">
        <w:rPr>
          <w:rFonts w:ascii="Times New Roman" w:hAnsi="Times New Roman"/>
        </w:rPr>
        <w:t>was based</w:t>
      </w:r>
      <w:r w:rsidRPr="000C3D42">
        <w:rPr>
          <w:rFonts w:ascii="Times New Roman" w:hAnsi="Times New Roman"/>
        </w:rPr>
        <w:t xml:space="preserve"> on analysts’ estimates of five year utility earnings growth.  This, he said, produced an ROE of 10.5 to 10.7%.  (H</w:t>
      </w:r>
      <w:r w:rsidR="004C06CC">
        <w:rPr>
          <w:rFonts w:ascii="Times New Roman" w:hAnsi="Times New Roman"/>
        </w:rPr>
        <w:t xml:space="preserve">adaway </w:t>
      </w:r>
      <w:r w:rsidRPr="000C3D42">
        <w:rPr>
          <w:rFonts w:ascii="Times New Roman" w:hAnsi="Times New Roman"/>
        </w:rPr>
        <w:t>D</w:t>
      </w:r>
      <w:r w:rsidR="004C06CC">
        <w:rPr>
          <w:rFonts w:ascii="Times New Roman" w:hAnsi="Times New Roman"/>
        </w:rPr>
        <w:t>irect,</w:t>
      </w:r>
      <w:r w:rsidRPr="000C3D42">
        <w:rPr>
          <w:rFonts w:ascii="Times New Roman" w:hAnsi="Times New Roman"/>
        </w:rPr>
        <w:t xml:space="preserve"> 39 </w:t>
      </w:r>
      <w:r w:rsidR="004C06CC">
        <w:rPr>
          <w:rFonts w:ascii="Times New Roman" w:hAnsi="Times New Roman"/>
        </w:rPr>
        <w:t>-</w:t>
      </w:r>
      <w:r w:rsidRPr="000C3D42">
        <w:rPr>
          <w:rFonts w:ascii="Times New Roman" w:hAnsi="Times New Roman"/>
        </w:rPr>
        <w:t xml:space="preserve"> 44)   He also did a constant growth analysis based on projected GDP growth.  This produced an ROE of  11.0%.  (H</w:t>
      </w:r>
      <w:r w:rsidR="004C06CC">
        <w:rPr>
          <w:rFonts w:ascii="Times New Roman" w:hAnsi="Times New Roman"/>
        </w:rPr>
        <w:t xml:space="preserve">adaway Direct, </w:t>
      </w:r>
      <w:r w:rsidRPr="000C3D42">
        <w:rPr>
          <w:rFonts w:ascii="Times New Roman" w:hAnsi="Times New Roman"/>
        </w:rPr>
        <w:t xml:space="preserve"> </w:t>
      </w:r>
      <w:r w:rsidR="00661FF7">
        <w:rPr>
          <w:rFonts w:ascii="Times New Roman" w:hAnsi="Times New Roman"/>
        </w:rPr>
        <w:t>42-43</w:t>
      </w:r>
      <w:r w:rsidRPr="000C3D42">
        <w:rPr>
          <w:rFonts w:ascii="Times New Roman" w:hAnsi="Times New Roman"/>
        </w:rPr>
        <w:t>)  Finally, he conducted a two</w:t>
      </w:r>
      <w:r w:rsidR="00661FF7">
        <w:rPr>
          <w:rFonts w:ascii="Times New Roman" w:hAnsi="Times New Roman"/>
        </w:rPr>
        <w:t>-</w:t>
      </w:r>
      <w:r w:rsidRPr="000C3D42">
        <w:rPr>
          <w:rFonts w:ascii="Times New Roman" w:hAnsi="Times New Roman"/>
        </w:rPr>
        <w:t xml:space="preserve"> stage version of a</w:t>
      </w:r>
      <w:r w:rsidR="009A75FC">
        <w:rPr>
          <w:rFonts w:ascii="Times New Roman" w:hAnsi="Times New Roman"/>
        </w:rPr>
        <w:t xml:space="preserve"> </w:t>
      </w:r>
      <w:r w:rsidRPr="000C3D42">
        <w:rPr>
          <w:rFonts w:ascii="Times New Roman" w:hAnsi="Times New Roman"/>
        </w:rPr>
        <w:t xml:space="preserve">DCF study.  This consisted of a first stage of three to five year dividend projections and then a second stage which was based entirely on long term projected growth in GDP.  </w:t>
      </w:r>
      <w:r w:rsidR="00661FF7">
        <w:rPr>
          <w:rFonts w:ascii="Times New Roman" w:hAnsi="Times New Roman"/>
        </w:rPr>
        <w:t xml:space="preserve">It produced </w:t>
      </w:r>
      <w:r w:rsidR="00D94C45">
        <w:rPr>
          <w:rFonts w:ascii="Times New Roman" w:hAnsi="Times New Roman"/>
        </w:rPr>
        <w:t xml:space="preserve">an </w:t>
      </w:r>
      <w:r w:rsidR="00661FF7">
        <w:rPr>
          <w:rFonts w:ascii="Times New Roman" w:hAnsi="Times New Roman"/>
        </w:rPr>
        <w:t>ROE of 10.80%. (H</w:t>
      </w:r>
      <w:r w:rsidR="004C06CC">
        <w:rPr>
          <w:rFonts w:ascii="Times New Roman" w:hAnsi="Times New Roman"/>
        </w:rPr>
        <w:t xml:space="preserve">adaway Direct, </w:t>
      </w:r>
      <w:r w:rsidR="00661FF7">
        <w:rPr>
          <w:rFonts w:ascii="Times New Roman" w:hAnsi="Times New Roman"/>
        </w:rPr>
        <w:t>43)</w:t>
      </w:r>
    </w:p>
    <w:p w:rsidR="00E26EE1" w:rsidRDefault="00E26EE1" w:rsidP="00AF43AE">
      <w:pPr>
        <w:spacing w:line="480" w:lineRule="auto"/>
        <w:rPr>
          <w:rFonts w:ascii="Times New Roman" w:hAnsi="Times New Roman"/>
        </w:rPr>
      </w:pPr>
    </w:p>
    <w:p w:rsidR="00250921" w:rsidRDefault="00661FF7" w:rsidP="00AF43AE">
      <w:pPr>
        <w:spacing w:line="480" w:lineRule="auto"/>
        <w:rPr>
          <w:rFonts w:ascii="Times New Roman" w:hAnsi="Times New Roman"/>
        </w:rPr>
      </w:pPr>
      <w:r>
        <w:rPr>
          <w:rFonts w:ascii="Times New Roman" w:hAnsi="Times New Roman"/>
        </w:rPr>
        <w:t xml:space="preserve">Dr. Hadaway’s </w:t>
      </w:r>
      <w:r w:rsidR="00D94C45">
        <w:rPr>
          <w:rFonts w:ascii="Times New Roman" w:hAnsi="Times New Roman"/>
        </w:rPr>
        <w:t xml:space="preserve">methodology is unreliable. </w:t>
      </w:r>
      <w:r w:rsidR="00F605CB">
        <w:rPr>
          <w:rFonts w:ascii="Times New Roman" w:hAnsi="Times New Roman"/>
        </w:rPr>
        <w:t xml:space="preserve"> </w:t>
      </w:r>
      <w:r w:rsidR="000C3D42" w:rsidRPr="000C3D42">
        <w:rPr>
          <w:rFonts w:ascii="Times New Roman" w:hAnsi="Times New Roman"/>
        </w:rPr>
        <w:t>Apart from his first constant growth rate</w:t>
      </w:r>
      <w:r>
        <w:rPr>
          <w:rFonts w:ascii="Times New Roman" w:hAnsi="Times New Roman"/>
        </w:rPr>
        <w:t>-bases DCF study</w:t>
      </w:r>
      <w:r w:rsidR="000C3D42" w:rsidRPr="000C3D42">
        <w:rPr>
          <w:rFonts w:ascii="Times New Roman" w:hAnsi="Times New Roman"/>
        </w:rPr>
        <w:t xml:space="preserve">, </w:t>
      </w:r>
      <w:r>
        <w:rPr>
          <w:rFonts w:ascii="Times New Roman" w:hAnsi="Times New Roman"/>
        </w:rPr>
        <w:t xml:space="preserve">all of </w:t>
      </w:r>
      <w:r w:rsidR="000C3D42" w:rsidRPr="000C3D42">
        <w:rPr>
          <w:rFonts w:ascii="Times New Roman" w:hAnsi="Times New Roman"/>
        </w:rPr>
        <w:t>Dr. Hadaway’s stud</w:t>
      </w:r>
      <w:r>
        <w:rPr>
          <w:rFonts w:ascii="Times New Roman" w:hAnsi="Times New Roman"/>
        </w:rPr>
        <w:t>ies</w:t>
      </w:r>
      <w:r w:rsidR="000C3D42" w:rsidRPr="000C3D42">
        <w:rPr>
          <w:rFonts w:ascii="Times New Roman" w:hAnsi="Times New Roman"/>
        </w:rPr>
        <w:t xml:space="preserve">, and </w:t>
      </w:r>
      <w:r>
        <w:rPr>
          <w:rFonts w:ascii="Times New Roman" w:hAnsi="Times New Roman"/>
        </w:rPr>
        <w:t xml:space="preserve">all of </w:t>
      </w:r>
      <w:r w:rsidR="000C3D42" w:rsidRPr="000C3D42">
        <w:rPr>
          <w:rFonts w:ascii="Times New Roman" w:hAnsi="Times New Roman"/>
        </w:rPr>
        <w:t>his resultant</w:t>
      </w:r>
      <w:r>
        <w:rPr>
          <w:rFonts w:ascii="Times New Roman" w:hAnsi="Times New Roman"/>
        </w:rPr>
        <w:t xml:space="preserve"> ROE</w:t>
      </w:r>
      <w:r w:rsidR="000C3D42" w:rsidRPr="000C3D42">
        <w:rPr>
          <w:rFonts w:ascii="Times New Roman" w:hAnsi="Times New Roman"/>
        </w:rPr>
        <w:t xml:space="preserve"> recommendations, </w:t>
      </w:r>
      <w:r>
        <w:rPr>
          <w:rFonts w:ascii="Times New Roman" w:hAnsi="Times New Roman"/>
        </w:rPr>
        <w:t>are</w:t>
      </w:r>
      <w:r w:rsidR="000C3D42" w:rsidRPr="000C3D42">
        <w:rPr>
          <w:rFonts w:ascii="Times New Roman" w:hAnsi="Times New Roman"/>
        </w:rPr>
        <w:t xml:space="preserve"> based on what he claim</w:t>
      </w:r>
      <w:r>
        <w:rPr>
          <w:rFonts w:ascii="Times New Roman" w:hAnsi="Times New Roman"/>
        </w:rPr>
        <w:t>s</w:t>
      </w:r>
      <w:r w:rsidR="000C3D42" w:rsidRPr="000C3D42">
        <w:rPr>
          <w:rFonts w:ascii="Times New Roman" w:hAnsi="Times New Roman"/>
        </w:rPr>
        <w:t xml:space="preserve"> is </w:t>
      </w:r>
      <w:r>
        <w:rPr>
          <w:rFonts w:ascii="Times New Roman" w:hAnsi="Times New Roman"/>
        </w:rPr>
        <w:t xml:space="preserve">a proper </w:t>
      </w:r>
      <w:r w:rsidR="000C3D42" w:rsidRPr="000C3D42">
        <w:rPr>
          <w:rFonts w:ascii="Times New Roman" w:hAnsi="Times New Roman"/>
        </w:rPr>
        <w:t xml:space="preserve">long-term projected growth rate </w:t>
      </w:r>
      <w:r>
        <w:rPr>
          <w:rFonts w:ascii="Times New Roman" w:hAnsi="Times New Roman"/>
        </w:rPr>
        <w:t xml:space="preserve">of 6% </w:t>
      </w:r>
      <w:r w:rsidR="000C3D42" w:rsidRPr="000C3D42">
        <w:rPr>
          <w:rFonts w:ascii="Times New Roman" w:hAnsi="Times New Roman"/>
        </w:rPr>
        <w:t>for the Nation’s GDP.  That unsubstantiated forecast growth rate, which he set at 6%, forms the basis for his DCF-based recommendations. (H</w:t>
      </w:r>
      <w:r w:rsidR="004C06CC">
        <w:rPr>
          <w:rFonts w:ascii="Times New Roman" w:hAnsi="Times New Roman"/>
        </w:rPr>
        <w:t>adaway Direct,</w:t>
      </w:r>
      <w:r w:rsidR="000C3D42" w:rsidRPr="000C3D42">
        <w:rPr>
          <w:rFonts w:ascii="Times New Roman" w:hAnsi="Times New Roman"/>
        </w:rPr>
        <w:t xml:space="preserve"> </w:t>
      </w:r>
      <w:r w:rsidR="00547654">
        <w:rPr>
          <w:rFonts w:ascii="Times New Roman" w:hAnsi="Times New Roman"/>
        </w:rPr>
        <w:t xml:space="preserve"> 41</w:t>
      </w:r>
      <w:r w:rsidR="000C3D42" w:rsidRPr="000C3D42">
        <w:rPr>
          <w:rFonts w:ascii="Times New Roman" w:hAnsi="Times New Roman"/>
        </w:rPr>
        <w:t xml:space="preserve">)  There may be some </w:t>
      </w:r>
      <w:r w:rsidR="00250921">
        <w:rPr>
          <w:rFonts w:ascii="Times New Roman" w:hAnsi="Times New Roman"/>
        </w:rPr>
        <w:t>question</w:t>
      </w:r>
      <w:r w:rsidR="000C3D42" w:rsidRPr="000C3D42">
        <w:rPr>
          <w:rFonts w:ascii="Times New Roman" w:hAnsi="Times New Roman"/>
        </w:rPr>
        <w:t xml:space="preserve"> as to whether </w:t>
      </w:r>
      <w:r w:rsidR="00250921">
        <w:rPr>
          <w:rFonts w:ascii="Times New Roman" w:hAnsi="Times New Roman"/>
        </w:rPr>
        <w:t xml:space="preserve">a </w:t>
      </w:r>
      <w:r w:rsidR="000C3D42" w:rsidRPr="000C3D42">
        <w:rPr>
          <w:rFonts w:ascii="Times New Roman" w:hAnsi="Times New Roman"/>
        </w:rPr>
        <w:t xml:space="preserve">projected GDP </w:t>
      </w:r>
      <w:r w:rsidR="00250921">
        <w:rPr>
          <w:rFonts w:ascii="Times New Roman" w:hAnsi="Times New Roman"/>
        </w:rPr>
        <w:t xml:space="preserve">growth rate </w:t>
      </w:r>
      <w:r w:rsidR="000C3D42" w:rsidRPr="000C3D42">
        <w:rPr>
          <w:rFonts w:ascii="Times New Roman" w:hAnsi="Times New Roman"/>
        </w:rPr>
        <w:t xml:space="preserve">ought to be </w:t>
      </w:r>
      <w:r w:rsidR="00250921">
        <w:rPr>
          <w:rFonts w:ascii="Times New Roman" w:hAnsi="Times New Roman"/>
        </w:rPr>
        <w:t xml:space="preserve">used </w:t>
      </w:r>
      <w:r w:rsidR="000C3D42" w:rsidRPr="000C3D42">
        <w:rPr>
          <w:rFonts w:ascii="Times New Roman" w:hAnsi="Times New Roman"/>
        </w:rPr>
        <w:t>for measuring long term growth</w:t>
      </w:r>
      <w:r w:rsidR="00250921">
        <w:rPr>
          <w:rFonts w:ascii="Times New Roman" w:hAnsi="Times New Roman"/>
        </w:rPr>
        <w:t xml:space="preserve"> as it is used in DCF studies.  </w:t>
      </w:r>
      <w:r w:rsidR="000C3D42" w:rsidRPr="000C3D42">
        <w:rPr>
          <w:rFonts w:ascii="Times New Roman" w:hAnsi="Times New Roman"/>
        </w:rPr>
        <w:t xml:space="preserve">But </w:t>
      </w:r>
      <w:r w:rsidR="00250921">
        <w:rPr>
          <w:rFonts w:ascii="Times New Roman" w:hAnsi="Times New Roman"/>
        </w:rPr>
        <w:t xml:space="preserve">there is no question at all that, </w:t>
      </w:r>
      <w:r w:rsidR="00250921" w:rsidRPr="00250921">
        <w:rPr>
          <w:rFonts w:ascii="Times New Roman" w:hAnsi="Times New Roman"/>
        </w:rPr>
        <w:t>if</w:t>
      </w:r>
      <w:r w:rsidR="00250921">
        <w:rPr>
          <w:rFonts w:ascii="Times New Roman" w:hAnsi="Times New Roman"/>
        </w:rPr>
        <w:t xml:space="preserve"> a GDP growth rate shall indeed be used in any DCF study, that GDP growth rate must be well-founded and credible.  The Department respectfully submits that Dr. Hadaway’s GDP growth rate is neither.   </w:t>
      </w:r>
      <w:r w:rsidR="000C3D42" w:rsidRPr="000C3D42">
        <w:rPr>
          <w:rFonts w:ascii="Times New Roman" w:hAnsi="Times New Roman"/>
        </w:rPr>
        <w:t xml:space="preserve"> </w:t>
      </w:r>
    </w:p>
    <w:p w:rsidR="004C35F2" w:rsidRDefault="00AF43AE" w:rsidP="00AF43AE">
      <w:pPr>
        <w:spacing w:line="480" w:lineRule="auto"/>
        <w:rPr>
          <w:rFonts w:ascii="Times New Roman" w:hAnsi="Times New Roman"/>
        </w:rPr>
      </w:pPr>
      <w:r>
        <w:rPr>
          <w:rFonts w:ascii="Times New Roman" w:hAnsi="Times New Roman"/>
        </w:rPr>
        <w:t xml:space="preserve">     </w:t>
      </w:r>
    </w:p>
    <w:p w:rsidR="009A75FC" w:rsidRDefault="000C3D42" w:rsidP="004A6CB8">
      <w:pPr>
        <w:tabs>
          <w:tab w:val="left" w:pos="5400"/>
        </w:tabs>
        <w:spacing w:line="480" w:lineRule="auto"/>
        <w:rPr>
          <w:rFonts w:ascii="Times New Roman" w:hAnsi="Times New Roman"/>
        </w:rPr>
      </w:pPr>
      <w:r w:rsidRPr="000C3D42">
        <w:rPr>
          <w:rFonts w:ascii="Times New Roman" w:hAnsi="Times New Roman"/>
        </w:rPr>
        <w:t>Mr. Gorman has persuasively pointed out</w:t>
      </w:r>
      <w:r w:rsidR="00BB252C">
        <w:rPr>
          <w:rFonts w:ascii="Times New Roman" w:hAnsi="Times New Roman"/>
        </w:rPr>
        <w:t>,</w:t>
      </w:r>
      <w:r w:rsidRPr="000C3D42">
        <w:rPr>
          <w:rFonts w:ascii="Times New Roman" w:hAnsi="Times New Roman"/>
        </w:rPr>
        <w:t xml:space="preserve"> first, that </w:t>
      </w:r>
      <w:r w:rsidR="004A6CB8">
        <w:rPr>
          <w:rFonts w:ascii="Times New Roman" w:hAnsi="Times New Roman"/>
        </w:rPr>
        <w:t>D</w:t>
      </w:r>
      <w:r w:rsidRPr="000C3D42">
        <w:rPr>
          <w:rFonts w:ascii="Times New Roman" w:hAnsi="Times New Roman"/>
        </w:rPr>
        <w:t xml:space="preserve">r. Hadaway’s assertions as the level of anticipated future GDP growth are based entirely upon Dr. Hadaway’s </w:t>
      </w:r>
      <w:r w:rsidR="001F673A">
        <w:rPr>
          <w:rFonts w:ascii="Times New Roman" w:hAnsi="Times New Roman"/>
        </w:rPr>
        <w:t xml:space="preserve">own </w:t>
      </w:r>
      <w:r w:rsidRPr="000C3D42">
        <w:rPr>
          <w:rFonts w:ascii="Times New Roman" w:hAnsi="Times New Roman"/>
        </w:rPr>
        <w:t>singular assessment of GDP growth rates</w:t>
      </w:r>
      <w:r w:rsidR="00BB252C">
        <w:rPr>
          <w:rFonts w:ascii="Times New Roman" w:hAnsi="Times New Roman"/>
        </w:rPr>
        <w:t>,</w:t>
      </w:r>
      <w:r w:rsidRPr="000C3D42">
        <w:rPr>
          <w:rFonts w:ascii="Times New Roman" w:hAnsi="Times New Roman"/>
        </w:rPr>
        <w:t xml:space="preserve"> and his private calculations and outlooks thereupon. (G</w:t>
      </w:r>
      <w:r w:rsidR="004C06CC">
        <w:rPr>
          <w:rFonts w:ascii="Times New Roman" w:hAnsi="Times New Roman"/>
        </w:rPr>
        <w:t xml:space="preserve">orman Surrebuttal, </w:t>
      </w:r>
      <w:r w:rsidRPr="000C3D42">
        <w:rPr>
          <w:rFonts w:ascii="Times New Roman" w:hAnsi="Times New Roman"/>
        </w:rPr>
        <w:t xml:space="preserve">  12)  </w:t>
      </w:r>
      <w:r w:rsidR="00BB252C">
        <w:rPr>
          <w:rFonts w:ascii="Times New Roman" w:hAnsi="Times New Roman"/>
        </w:rPr>
        <w:t xml:space="preserve"> In line with this, </w:t>
      </w:r>
      <w:r w:rsidRPr="000C3D42">
        <w:rPr>
          <w:rFonts w:ascii="Times New Roman" w:hAnsi="Times New Roman"/>
        </w:rPr>
        <w:t xml:space="preserve">Dr. Hadaway admitted during cross-examination that he </w:t>
      </w:r>
      <w:r w:rsidR="00BB252C">
        <w:rPr>
          <w:rFonts w:ascii="Times New Roman" w:hAnsi="Times New Roman"/>
        </w:rPr>
        <w:t xml:space="preserve">himself </w:t>
      </w:r>
      <w:r w:rsidRPr="000C3D42">
        <w:rPr>
          <w:rFonts w:ascii="Times New Roman" w:hAnsi="Times New Roman"/>
        </w:rPr>
        <w:t xml:space="preserve">created this </w:t>
      </w:r>
      <w:r w:rsidR="00BB252C">
        <w:rPr>
          <w:rFonts w:ascii="Times New Roman" w:hAnsi="Times New Roman"/>
        </w:rPr>
        <w:t>growth</w:t>
      </w:r>
      <w:r w:rsidRPr="000C3D42">
        <w:rPr>
          <w:rFonts w:ascii="Times New Roman" w:hAnsi="Times New Roman"/>
        </w:rPr>
        <w:t xml:space="preserve"> rate entirely on his own, independent and apart from any material that has been adopted, published or presented anywhere else. (T</w:t>
      </w:r>
      <w:r w:rsidR="004C06CC">
        <w:rPr>
          <w:rFonts w:ascii="Times New Roman" w:hAnsi="Times New Roman"/>
        </w:rPr>
        <w:t xml:space="preserve">ranscript (“T”) </w:t>
      </w:r>
      <w:r w:rsidRPr="000C3D42">
        <w:rPr>
          <w:rFonts w:ascii="Times New Roman" w:hAnsi="Times New Roman"/>
        </w:rPr>
        <w:t xml:space="preserve">- 2479-80, 2490)  </w:t>
      </w:r>
    </w:p>
    <w:p w:rsidR="004C35F2" w:rsidRDefault="004C35F2" w:rsidP="00AF43AE">
      <w:pPr>
        <w:spacing w:line="480" w:lineRule="auto"/>
        <w:rPr>
          <w:rFonts w:ascii="Times New Roman" w:hAnsi="Times New Roman"/>
        </w:rPr>
      </w:pPr>
    </w:p>
    <w:p w:rsidR="000C3D42" w:rsidRPr="000C3D42" w:rsidRDefault="000C3D42" w:rsidP="00AF43AE">
      <w:pPr>
        <w:spacing w:line="480" w:lineRule="auto"/>
        <w:rPr>
          <w:rFonts w:ascii="Times New Roman" w:hAnsi="Times New Roman"/>
        </w:rPr>
      </w:pPr>
      <w:r w:rsidRPr="000C3D42">
        <w:rPr>
          <w:rFonts w:ascii="Times New Roman" w:hAnsi="Times New Roman"/>
        </w:rPr>
        <w:t>Moreover, Dr. Hadaway’s</w:t>
      </w:r>
      <w:r w:rsidR="00BB252C">
        <w:rPr>
          <w:rFonts w:ascii="Times New Roman" w:hAnsi="Times New Roman"/>
        </w:rPr>
        <w:t xml:space="preserve"> growth rate</w:t>
      </w:r>
      <w:r w:rsidRPr="000C3D42">
        <w:rPr>
          <w:rFonts w:ascii="Times New Roman" w:hAnsi="Times New Roman"/>
        </w:rPr>
        <w:t xml:space="preserve">, even if </w:t>
      </w:r>
      <w:r w:rsidR="00BB252C">
        <w:rPr>
          <w:rFonts w:ascii="Times New Roman" w:hAnsi="Times New Roman"/>
        </w:rPr>
        <w:t>it</w:t>
      </w:r>
      <w:r w:rsidRPr="000C3D42">
        <w:rPr>
          <w:rFonts w:ascii="Times New Roman" w:hAnsi="Times New Roman"/>
        </w:rPr>
        <w:t xml:space="preserve"> were based upon some credible </w:t>
      </w:r>
      <w:r w:rsidR="001F673A">
        <w:rPr>
          <w:rFonts w:ascii="Times New Roman" w:hAnsi="Times New Roman"/>
        </w:rPr>
        <w:t>evidence</w:t>
      </w:r>
      <w:r w:rsidRPr="000C3D42">
        <w:rPr>
          <w:rFonts w:ascii="Times New Roman" w:hAnsi="Times New Roman"/>
        </w:rPr>
        <w:t xml:space="preserve">, </w:t>
      </w:r>
      <w:r w:rsidR="00BB252C">
        <w:rPr>
          <w:rFonts w:ascii="Times New Roman" w:hAnsi="Times New Roman"/>
        </w:rPr>
        <w:t>is</w:t>
      </w:r>
      <w:r w:rsidRPr="000C3D42">
        <w:rPr>
          <w:rFonts w:ascii="Times New Roman" w:hAnsi="Times New Roman"/>
        </w:rPr>
        <w:t xml:space="preserve"> not available to, and therefore cannot influence, investors.  </w:t>
      </w:r>
      <w:r w:rsidR="001F673A">
        <w:rPr>
          <w:rFonts w:ascii="Times New Roman" w:hAnsi="Times New Roman"/>
        </w:rPr>
        <w:t xml:space="preserve">Moreover, Dr. Hadaway has presented no evidence that investors share his view.  </w:t>
      </w:r>
      <w:r w:rsidR="00BB252C">
        <w:rPr>
          <w:rFonts w:ascii="Times New Roman" w:hAnsi="Times New Roman"/>
        </w:rPr>
        <w:t>This renders Dr. Hadaway’s privately-developed growth rate quite irrelevant, b</w:t>
      </w:r>
      <w:r w:rsidRPr="000C3D42">
        <w:rPr>
          <w:rFonts w:ascii="Times New Roman" w:hAnsi="Times New Roman"/>
        </w:rPr>
        <w:t xml:space="preserve">ecause the ROE figure which the </w:t>
      </w:r>
      <w:r w:rsidR="00054D30">
        <w:rPr>
          <w:rFonts w:ascii="Times New Roman" w:hAnsi="Times New Roman"/>
        </w:rPr>
        <w:t>Commission</w:t>
      </w:r>
      <w:r w:rsidRPr="000C3D42">
        <w:rPr>
          <w:rFonts w:ascii="Times New Roman" w:hAnsi="Times New Roman"/>
        </w:rPr>
        <w:t xml:space="preserve"> must </w:t>
      </w:r>
      <w:r w:rsidR="00BB252C">
        <w:rPr>
          <w:rFonts w:ascii="Times New Roman" w:hAnsi="Times New Roman"/>
        </w:rPr>
        <w:t xml:space="preserve">find </w:t>
      </w:r>
      <w:r w:rsidRPr="000C3D42">
        <w:rPr>
          <w:rFonts w:ascii="Times New Roman" w:hAnsi="Times New Roman"/>
        </w:rPr>
        <w:t xml:space="preserve">is </w:t>
      </w:r>
      <w:r w:rsidR="00697678">
        <w:rPr>
          <w:rFonts w:ascii="Times New Roman" w:hAnsi="Times New Roman"/>
        </w:rPr>
        <w:t xml:space="preserve">cannot merely be based on </w:t>
      </w:r>
      <w:r w:rsidRPr="000C3D42">
        <w:rPr>
          <w:rFonts w:ascii="Times New Roman" w:hAnsi="Times New Roman"/>
        </w:rPr>
        <w:t xml:space="preserve">what Dr. Hadaway claims </w:t>
      </w:r>
      <w:r w:rsidR="00BB252C">
        <w:rPr>
          <w:rFonts w:ascii="Times New Roman" w:hAnsi="Times New Roman"/>
        </w:rPr>
        <w:t xml:space="preserve">to think that </w:t>
      </w:r>
      <w:r w:rsidRPr="000C3D42">
        <w:rPr>
          <w:rFonts w:ascii="Times New Roman" w:hAnsi="Times New Roman"/>
        </w:rPr>
        <w:t>GDP growth rate will</w:t>
      </w:r>
      <w:r w:rsidR="00BB252C">
        <w:rPr>
          <w:rFonts w:ascii="Times New Roman" w:hAnsi="Times New Roman"/>
        </w:rPr>
        <w:t xml:space="preserve"> </w:t>
      </w:r>
      <w:r w:rsidRPr="000C3D42">
        <w:rPr>
          <w:rFonts w:ascii="Times New Roman" w:hAnsi="Times New Roman"/>
        </w:rPr>
        <w:t xml:space="preserve">be, but, rather, what it is fair </w:t>
      </w:r>
      <w:r w:rsidR="00697678">
        <w:rPr>
          <w:rFonts w:ascii="Times New Roman" w:hAnsi="Times New Roman"/>
        </w:rPr>
        <w:t xml:space="preserve">and reasonable </w:t>
      </w:r>
      <w:r w:rsidRPr="000C3D42">
        <w:rPr>
          <w:rFonts w:ascii="Times New Roman" w:hAnsi="Times New Roman"/>
        </w:rPr>
        <w:t xml:space="preserve">to assume that </w:t>
      </w:r>
      <w:r w:rsidRPr="009E4A9D">
        <w:rPr>
          <w:rFonts w:ascii="Times New Roman" w:hAnsi="Times New Roman"/>
          <w:i/>
        </w:rPr>
        <w:t>investors</w:t>
      </w:r>
      <w:r w:rsidRPr="000C3D42">
        <w:rPr>
          <w:rFonts w:ascii="Times New Roman" w:hAnsi="Times New Roman"/>
        </w:rPr>
        <w:t xml:space="preserve"> think</w:t>
      </w:r>
      <w:r w:rsidR="009E4A9D">
        <w:rPr>
          <w:rFonts w:ascii="Times New Roman" w:hAnsi="Times New Roman"/>
        </w:rPr>
        <w:t xml:space="preserve"> it will be</w:t>
      </w:r>
      <w:r w:rsidRPr="000C3D42">
        <w:rPr>
          <w:rFonts w:ascii="Times New Roman" w:hAnsi="Times New Roman"/>
        </w:rPr>
        <w:t xml:space="preserve">.  </w:t>
      </w:r>
      <w:r w:rsidR="009E4A9D">
        <w:rPr>
          <w:rFonts w:ascii="Times New Roman" w:hAnsi="Times New Roman"/>
        </w:rPr>
        <w:t xml:space="preserve">Moreover, </w:t>
      </w:r>
      <w:r w:rsidRPr="000C3D42">
        <w:rPr>
          <w:rFonts w:ascii="Times New Roman" w:hAnsi="Times New Roman"/>
        </w:rPr>
        <w:t xml:space="preserve">the record shows that </w:t>
      </w:r>
      <w:r w:rsidR="004A6CB8">
        <w:rPr>
          <w:rFonts w:ascii="Times New Roman" w:hAnsi="Times New Roman"/>
        </w:rPr>
        <w:t>D</w:t>
      </w:r>
      <w:r w:rsidRPr="000C3D42">
        <w:rPr>
          <w:rFonts w:ascii="Times New Roman" w:hAnsi="Times New Roman"/>
        </w:rPr>
        <w:t xml:space="preserve">r. Hadaway’s growth assessments have been rejected by </w:t>
      </w:r>
      <w:r w:rsidR="009E4A9D">
        <w:rPr>
          <w:rFonts w:ascii="Times New Roman" w:hAnsi="Times New Roman"/>
        </w:rPr>
        <w:t>at least five State-</w:t>
      </w:r>
      <w:r w:rsidR="008652B0">
        <w:rPr>
          <w:rFonts w:ascii="Times New Roman" w:hAnsi="Times New Roman"/>
        </w:rPr>
        <w:t xml:space="preserve">level </w:t>
      </w:r>
      <w:r w:rsidR="008652B0" w:rsidRPr="000C3D42">
        <w:rPr>
          <w:rFonts w:ascii="Times New Roman" w:hAnsi="Times New Roman"/>
        </w:rPr>
        <w:t>regulatory</w:t>
      </w:r>
      <w:r w:rsidRPr="000C3D42">
        <w:rPr>
          <w:rFonts w:ascii="Times New Roman" w:hAnsi="Times New Roman"/>
        </w:rPr>
        <w:t xml:space="preserve"> </w:t>
      </w:r>
      <w:r w:rsidR="00054D30">
        <w:rPr>
          <w:rFonts w:ascii="Times New Roman" w:hAnsi="Times New Roman"/>
        </w:rPr>
        <w:t>Commission</w:t>
      </w:r>
      <w:r w:rsidRPr="000C3D42">
        <w:rPr>
          <w:rFonts w:ascii="Times New Roman" w:hAnsi="Times New Roman"/>
        </w:rPr>
        <w:t>s. (</w:t>
      </w:r>
      <w:r w:rsidR="00D6456E">
        <w:rPr>
          <w:rFonts w:ascii="Times New Roman" w:hAnsi="Times New Roman"/>
        </w:rPr>
        <w:t>G</w:t>
      </w:r>
      <w:r w:rsidR="00FE74D4">
        <w:rPr>
          <w:rFonts w:ascii="Times New Roman" w:hAnsi="Times New Roman"/>
        </w:rPr>
        <w:t xml:space="preserve">orman Rebuttal, </w:t>
      </w:r>
      <w:r w:rsidR="00D6456E">
        <w:rPr>
          <w:rFonts w:ascii="Times New Roman" w:hAnsi="Times New Roman"/>
        </w:rPr>
        <w:t>9</w:t>
      </w:r>
      <w:r w:rsidR="00FE74D4">
        <w:rPr>
          <w:rFonts w:ascii="Times New Roman" w:hAnsi="Times New Roman"/>
        </w:rPr>
        <w:t>;</w:t>
      </w:r>
      <w:r w:rsidR="00D6456E">
        <w:rPr>
          <w:rFonts w:ascii="Times New Roman" w:hAnsi="Times New Roman"/>
        </w:rPr>
        <w:t xml:space="preserve"> </w:t>
      </w:r>
      <w:r w:rsidRPr="000C3D42">
        <w:rPr>
          <w:rFonts w:ascii="Times New Roman" w:hAnsi="Times New Roman"/>
        </w:rPr>
        <w:t>G</w:t>
      </w:r>
      <w:r w:rsidR="00FE74D4">
        <w:rPr>
          <w:rFonts w:ascii="Times New Roman" w:hAnsi="Times New Roman"/>
        </w:rPr>
        <w:t>orman Surrebuttal,</w:t>
      </w:r>
      <w:r w:rsidRPr="000C3D42">
        <w:rPr>
          <w:rFonts w:ascii="Times New Roman" w:hAnsi="Times New Roman"/>
        </w:rPr>
        <w:t xml:space="preserve"> 11)</w:t>
      </w:r>
    </w:p>
    <w:p w:rsidR="004C35F2" w:rsidRDefault="004C35F2" w:rsidP="000C3D42">
      <w:pPr>
        <w:spacing w:line="480" w:lineRule="auto"/>
        <w:rPr>
          <w:rFonts w:ascii="Times New Roman" w:hAnsi="Times New Roman"/>
        </w:rPr>
      </w:pPr>
    </w:p>
    <w:p w:rsidR="000C3D42" w:rsidRPr="000C3D42" w:rsidRDefault="000C3D42" w:rsidP="000C3D42">
      <w:pPr>
        <w:spacing w:line="480" w:lineRule="auto"/>
        <w:rPr>
          <w:rFonts w:ascii="Times New Roman" w:hAnsi="Times New Roman"/>
        </w:rPr>
      </w:pPr>
      <w:r w:rsidRPr="000C3D42">
        <w:rPr>
          <w:rFonts w:ascii="Times New Roman" w:hAnsi="Times New Roman"/>
        </w:rPr>
        <w:t xml:space="preserve">Dr. Hardaway </w:t>
      </w:r>
      <w:r w:rsidR="009E4A9D">
        <w:rPr>
          <w:rFonts w:ascii="Times New Roman" w:hAnsi="Times New Roman"/>
        </w:rPr>
        <w:t>developed</w:t>
      </w:r>
      <w:r w:rsidRPr="000C3D42">
        <w:rPr>
          <w:rFonts w:ascii="Times New Roman" w:hAnsi="Times New Roman"/>
        </w:rPr>
        <w:t xml:space="preserve"> his final ROE recommendation </w:t>
      </w:r>
      <w:r w:rsidR="009E4A9D">
        <w:rPr>
          <w:rFonts w:ascii="Times New Roman" w:hAnsi="Times New Roman"/>
        </w:rPr>
        <w:t xml:space="preserve">entirely </w:t>
      </w:r>
      <w:r w:rsidRPr="000C3D42">
        <w:rPr>
          <w:rFonts w:ascii="Times New Roman" w:hAnsi="Times New Roman"/>
        </w:rPr>
        <w:t xml:space="preserve">from an average of the results of his three above-described DCF studies.  </w:t>
      </w:r>
      <w:r w:rsidR="009E4A9D">
        <w:rPr>
          <w:rFonts w:ascii="Times New Roman" w:hAnsi="Times New Roman"/>
        </w:rPr>
        <w:t xml:space="preserve">He included no other studies in this pivotal calculation.  </w:t>
      </w:r>
      <w:r w:rsidRPr="000C3D42">
        <w:rPr>
          <w:rFonts w:ascii="Times New Roman" w:hAnsi="Times New Roman"/>
        </w:rPr>
        <w:t xml:space="preserve">The results of two of those </w:t>
      </w:r>
      <w:r w:rsidR="009E4A9D">
        <w:rPr>
          <w:rFonts w:ascii="Times New Roman" w:hAnsi="Times New Roman"/>
        </w:rPr>
        <w:t xml:space="preserve">DCG </w:t>
      </w:r>
      <w:r w:rsidRPr="000C3D42">
        <w:rPr>
          <w:rFonts w:ascii="Times New Roman" w:hAnsi="Times New Roman"/>
        </w:rPr>
        <w:t xml:space="preserve">studies are premised upon Dr. Hadaway’s unacceptable GDP growth rate.  </w:t>
      </w:r>
      <w:r w:rsidR="006E625B">
        <w:rPr>
          <w:rFonts w:ascii="Times New Roman" w:hAnsi="Times New Roman"/>
        </w:rPr>
        <w:t xml:space="preserve">All of Dr. Hadaway’s </w:t>
      </w:r>
      <w:r w:rsidRPr="000C3D42">
        <w:rPr>
          <w:rFonts w:ascii="Times New Roman" w:hAnsi="Times New Roman"/>
        </w:rPr>
        <w:t>studies</w:t>
      </w:r>
      <w:r w:rsidR="006E625B">
        <w:rPr>
          <w:rFonts w:ascii="Times New Roman" w:hAnsi="Times New Roman"/>
        </w:rPr>
        <w:t>,</w:t>
      </w:r>
      <w:r w:rsidRPr="000C3D42">
        <w:rPr>
          <w:rFonts w:ascii="Times New Roman" w:hAnsi="Times New Roman"/>
        </w:rPr>
        <w:t xml:space="preserve"> and </w:t>
      </w:r>
      <w:r w:rsidR="006E625B">
        <w:rPr>
          <w:rFonts w:ascii="Times New Roman" w:hAnsi="Times New Roman"/>
        </w:rPr>
        <w:t xml:space="preserve">all of his </w:t>
      </w:r>
      <w:r w:rsidRPr="000C3D42">
        <w:rPr>
          <w:rFonts w:ascii="Times New Roman" w:hAnsi="Times New Roman"/>
        </w:rPr>
        <w:t>resultant ROE recommendation</w:t>
      </w:r>
      <w:r w:rsidR="006E625B">
        <w:rPr>
          <w:rFonts w:ascii="Times New Roman" w:hAnsi="Times New Roman"/>
        </w:rPr>
        <w:t>s,</w:t>
      </w:r>
      <w:r w:rsidRPr="000C3D42">
        <w:rPr>
          <w:rFonts w:ascii="Times New Roman" w:hAnsi="Times New Roman"/>
        </w:rPr>
        <w:t xml:space="preserve"> must </w:t>
      </w:r>
      <w:r w:rsidR="006E625B">
        <w:rPr>
          <w:rFonts w:ascii="Times New Roman" w:hAnsi="Times New Roman"/>
        </w:rPr>
        <w:t xml:space="preserve">therefore </w:t>
      </w:r>
      <w:r w:rsidRPr="000C3D42">
        <w:rPr>
          <w:rFonts w:ascii="Times New Roman" w:hAnsi="Times New Roman"/>
        </w:rPr>
        <w:t xml:space="preserve">be rejected.  This is especially trenchant because, as will next be discussed, Dr. Hadaway has, for the purposes of determining recommended ROE in this proceeding, relied entirely upon his DCF analyses, and rejected both of the other </w:t>
      </w:r>
      <w:r w:rsidR="008652B0" w:rsidRPr="000C3D42">
        <w:rPr>
          <w:rFonts w:ascii="Times New Roman" w:hAnsi="Times New Roman"/>
        </w:rPr>
        <w:t>traditional methodologies</w:t>
      </w:r>
      <w:r w:rsidRPr="000C3D42">
        <w:rPr>
          <w:rFonts w:ascii="Times New Roman" w:hAnsi="Times New Roman"/>
        </w:rPr>
        <w:t xml:space="preserve"> for determining </w:t>
      </w:r>
      <w:r w:rsidR="00697678">
        <w:rPr>
          <w:rFonts w:ascii="Times New Roman" w:hAnsi="Times New Roman"/>
        </w:rPr>
        <w:t>utility ROE</w:t>
      </w:r>
      <w:r w:rsidRPr="000C3D42">
        <w:rPr>
          <w:rFonts w:ascii="Times New Roman" w:hAnsi="Times New Roman"/>
        </w:rPr>
        <w:t xml:space="preserve">. </w:t>
      </w:r>
    </w:p>
    <w:p w:rsidR="00854838" w:rsidRDefault="00854838" w:rsidP="000C4888">
      <w:pPr>
        <w:tabs>
          <w:tab w:val="left" w:pos="3870"/>
        </w:tabs>
        <w:spacing w:line="360" w:lineRule="auto"/>
        <w:rPr>
          <w:rFonts w:ascii="Times New Roman" w:hAnsi="Times New Roman"/>
        </w:rPr>
      </w:pPr>
    </w:p>
    <w:p w:rsidR="004C35F2" w:rsidRDefault="004C35F2" w:rsidP="000C4888">
      <w:pPr>
        <w:tabs>
          <w:tab w:val="left" w:pos="3870"/>
        </w:tabs>
        <w:spacing w:line="360" w:lineRule="auto"/>
        <w:rPr>
          <w:rFonts w:ascii="Times New Roman" w:hAnsi="Times New Roman"/>
          <w:b/>
        </w:rPr>
      </w:pPr>
    </w:p>
    <w:p w:rsidR="00854838" w:rsidRDefault="00846FDD" w:rsidP="000C4888">
      <w:pPr>
        <w:tabs>
          <w:tab w:val="left" w:pos="3870"/>
        </w:tabs>
        <w:spacing w:line="360" w:lineRule="auto"/>
        <w:rPr>
          <w:rFonts w:ascii="Times New Roman" w:hAnsi="Times New Roman"/>
        </w:rPr>
      </w:pPr>
      <w:r>
        <w:rPr>
          <w:rFonts w:ascii="Times New Roman" w:hAnsi="Times New Roman"/>
          <w:b/>
        </w:rPr>
        <w:t>5</w:t>
      </w:r>
      <w:r w:rsidRPr="0080608D">
        <w:rPr>
          <w:rFonts w:ascii="Times New Roman" w:hAnsi="Times New Roman"/>
          <w:b/>
        </w:rPr>
        <w:t xml:space="preserve">.  </w:t>
      </w:r>
      <w:r>
        <w:rPr>
          <w:rFonts w:ascii="Times New Roman" w:hAnsi="Times New Roman"/>
          <w:b/>
        </w:rPr>
        <w:t xml:space="preserve">The Witnesses’ Risk Premium-Based ROE Analyses and Recommendations </w:t>
      </w:r>
      <w:r w:rsidRPr="0080608D">
        <w:rPr>
          <w:rFonts w:ascii="Times New Roman" w:hAnsi="Times New Roman"/>
          <w:b/>
        </w:rPr>
        <w:t xml:space="preserve"> </w:t>
      </w:r>
    </w:p>
    <w:p w:rsidR="000C4888" w:rsidRPr="00846FDD" w:rsidRDefault="00846FDD" w:rsidP="000C4888">
      <w:pPr>
        <w:tabs>
          <w:tab w:val="left" w:pos="3870"/>
        </w:tabs>
        <w:spacing w:line="360" w:lineRule="auto"/>
        <w:rPr>
          <w:rFonts w:ascii="Times New Roman" w:hAnsi="Times New Roman"/>
          <w:b/>
        </w:rPr>
      </w:pPr>
      <w:r>
        <w:rPr>
          <w:rFonts w:ascii="Times New Roman" w:hAnsi="Times New Roman"/>
          <w:b/>
        </w:rPr>
        <w:t>a</w:t>
      </w:r>
      <w:r w:rsidRPr="00846FDD">
        <w:rPr>
          <w:rFonts w:ascii="Times New Roman" w:hAnsi="Times New Roman"/>
          <w:b/>
        </w:rPr>
        <w:t xml:space="preserve">.  The Risk Premium Methodology </w:t>
      </w:r>
    </w:p>
    <w:p w:rsidR="000C4888" w:rsidRPr="009E4A9D" w:rsidRDefault="000C4888" w:rsidP="00854838">
      <w:pPr>
        <w:tabs>
          <w:tab w:val="left" w:pos="3870"/>
        </w:tabs>
        <w:spacing w:line="480" w:lineRule="auto"/>
        <w:rPr>
          <w:rFonts w:ascii="Times New Roman" w:hAnsi="Times New Roman"/>
        </w:rPr>
      </w:pPr>
      <w:r w:rsidRPr="009E4A9D">
        <w:rPr>
          <w:rFonts w:ascii="Times New Roman" w:hAnsi="Times New Roman"/>
        </w:rPr>
        <w:t xml:space="preserve">Risk premium-based </w:t>
      </w:r>
      <w:r w:rsidR="009E4A9D" w:rsidRPr="009E4A9D">
        <w:rPr>
          <w:rFonts w:ascii="Times New Roman" w:hAnsi="Times New Roman"/>
        </w:rPr>
        <w:t xml:space="preserve">methodologies and </w:t>
      </w:r>
      <w:r w:rsidRPr="009E4A9D">
        <w:rPr>
          <w:rFonts w:ascii="Times New Roman" w:hAnsi="Times New Roman"/>
        </w:rPr>
        <w:t>models</w:t>
      </w:r>
      <w:r w:rsidR="00846FDD">
        <w:rPr>
          <w:rFonts w:ascii="Times New Roman" w:hAnsi="Times New Roman"/>
        </w:rPr>
        <w:t xml:space="preserve"> </w:t>
      </w:r>
      <w:r w:rsidRPr="009E4A9D">
        <w:rPr>
          <w:rFonts w:ascii="Times New Roman" w:hAnsi="Times New Roman"/>
        </w:rPr>
        <w:t xml:space="preserve">are based on the widely-accepted general observations that investors require a higher return to </w:t>
      </w:r>
      <w:r w:rsidR="003502A6">
        <w:rPr>
          <w:rFonts w:ascii="Times New Roman" w:hAnsi="Times New Roman"/>
        </w:rPr>
        <w:t xml:space="preserve">a </w:t>
      </w:r>
      <w:r w:rsidRPr="009E4A9D">
        <w:rPr>
          <w:rFonts w:ascii="Times New Roman" w:hAnsi="Times New Roman"/>
        </w:rPr>
        <w:t xml:space="preserve">assume greater risk, </w:t>
      </w:r>
      <w:r w:rsidR="003502A6">
        <w:rPr>
          <w:rFonts w:ascii="Times New Roman" w:hAnsi="Times New Roman"/>
        </w:rPr>
        <w:t xml:space="preserve">that </w:t>
      </w:r>
      <w:r w:rsidRPr="009E4A9D">
        <w:rPr>
          <w:rFonts w:ascii="Times New Roman" w:hAnsi="Times New Roman"/>
        </w:rPr>
        <w:t xml:space="preserve">common equity investments generally entail assumption of greater risk than bonds, and that, therefore, the amount by </w:t>
      </w:r>
      <w:r w:rsidR="008652B0" w:rsidRPr="009E4A9D">
        <w:rPr>
          <w:rFonts w:ascii="Times New Roman" w:hAnsi="Times New Roman"/>
        </w:rPr>
        <w:t>which common</w:t>
      </w:r>
      <w:r w:rsidRPr="009E4A9D">
        <w:rPr>
          <w:rFonts w:ascii="Times New Roman" w:hAnsi="Times New Roman"/>
        </w:rPr>
        <w:t xml:space="preserve"> equity returns exceed bond dividends constitutes the “risk premium” that investors demand for investing in common equity rather than debt. (G</w:t>
      </w:r>
      <w:r w:rsidR="00FE74D4">
        <w:rPr>
          <w:rFonts w:ascii="Times New Roman" w:hAnsi="Times New Roman"/>
        </w:rPr>
        <w:t>orman Direct,</w:t>
      </w:r>
      <w:r w:rsidRPr="009E4A9D">
        <w:rPr>
          <w:rFonts w:ascii="Times New Roman" w:hAnsi="Times New Roman"/>
        </w:rPr>
        <w:t xml:space="preserve"> 28)   </w:t>
      </w:r>
      <w:r w:rsidR="003502A6">
        <w:rPr>
          <w:rFonts w:ascii="Times New Roman" w:hAnsi="Times New Roman"/>
        </w:rPr>
        <w:t>Thus, if one measures this risk premium, and then adds the risk premium to a properly-measured return on debt, one may determine a proper ROE</w:t>
      </w:r>
    </w:p>
    <w:p w:rsidR="003502A6" w:rsidRDefault="003502A6" w:rsidP="00854838">
      <w:pPr>
        <w:tabs>
          <w:tab w:val="left" w:pos="3870"/>
        </w:tabs>
        <w:spacing w:line="480" w:lineRule="auto"/>
        <w:rPr>
          <w:rFonts w:ascii="Times New Roman" w:hAnsi="Times New Roman"/>
        </w:rPr>
      </w:pPr>
    </w:p>
    <w:p w:rsidR="000C4888" w:rsidRPr="00846FDD" w:rsidRDefault="00846FDD" w:rsidP="00854838">
      <w:pPr>
        <w:tabs>
          <w:tab w:val="left" w:pos="3870"/>
        </w:tabs>
        <w:spacing w:line="480" w:lineRule="auto"/>
        <w:rPr>
          <w:rFonts w:ascii="Times New Roman" w:hAnsi="Times New Roman"/>
          <w:b/>
        </w:rPr>
      </w:pPr>
      <w:r>
        <w:rPr>
          <w:rFonts w:ascii="Times New Roman" w:hAnsi="Times New Roman"/>
          <w:b/>
        </w:rPr>
        <w:t xml:space="preserve">b. </w:t>
      </w:r>
      <w:r w:rsidR="00AF43AE">
        <w:rPr>
          <w:rFonts w:ascii="Times New Roman" w:hAnsi="Times New Roman"/>
          <w:b/>
        </w:rPr>
        <w:t xml:space="preserve"> </w:t>
      </w:r>
      <w:r w:rsidR="000C4888" w:rsidRPr="00846FDD">
        <w:rPr>
          <w:rFonts w:ascii="Times New Roman" w:hAnsi="Times New Roman"/>
          <w:b/>
        </w:rPr>
        <w:t>M</w:t>
      </w:r>
      <w:r w:rsidRPr="00846FDD">
        <w:rPr>
          <w:rFonts w:ascii="Times New Roman" w:hAnsi="Times New Roman"/>
          <w:b/>
        </w:rPr>
        <w:t>r</w:t>
      </w:r>
      <w:r w:rsidR="000C4888" w:rsidRPr="00846FDD">
        <w:rPr>
          <w:rFonts w:ascii="Times New Roman" w:hAnsi="Times New Roman"/>
          <w:b/>
        </w:rPr>
        <w:t>. G</w:t>
      </w:r>
      <w:r w:rsidRPr="00846FDD">
        <w:rPr>
          <w:rFonts w:ascii="Times New Roman" w:hAnsi="Times New Roman"/>
          <w:b/>
        </w:rPr>
        <w:t xml:space="preserve">orman’s Risk Premium Analysis </w:t>
      </w:r>
    </w:p>
    <w:p w:rsidR="00D6456E" w:rsidRPr="009E4A9D" w:rsidRDefault="000C4888" w:rsidP="00AF43AE">
      <w:pPr>
        <w:tabs>
          <w:tab w:val="left" w:pos="3870"/>
        </w:tabs>
        <w:spacing w:line="480" w:lineRule="auto"/>
        <w:rPr>
          <w:rFonts w:ascii="Times New Roman" w:hAnsi="Times New Roman"/>
        </w:rPr>
      </w:pPr>
      <w:r w:rsidRPr="009E4A9D">
        <w:rPr>
          <w:rFonts w:ascii="Times New Roman" w:hAnsi="Times New Roman"/>
        </w:rPr>
        <w:t>Mr. Gorman computed risk premium in two ways.  First, he measured the difference between returns on utility common equity and returns on U.S. Treasury bonds.  Here, Mr. Gorman calculated the resultant equity risk premium at 5.19%</w:t>
      </w:r>
      <w:r w:rsidR="00D6456E" w:rsidRPr="009E4A9D">
        <w:rPr>
          <w:rFonts w:ascii="Times New Roman" w:hAnsi="Times New Roman"/>
        </w:rPr>
        <w:t>,</w:t>
      </w:r>
      <w:r w:rsidRPr="009E4A9D">
        <w:rPr>
          <w:rFonts w:ascii="Times New Roman" w:hAnsi="Times New Roman"/>
        </w:rPr>
        <w:t xml:space="preserve">  </w:t>
      </w:r>
      <w:r w:rsidR="00D6456E" w:rsidRPr="009E4A9D">
        <w:rPr>
          <w:rFonts w:ascii="Times New Roman" w:hAnsi="Times New Roman"/>
        </w:rPr>
        <w:t xml:space="preserve"> </w:t>
      </w:r>
      <w:r w:rsidRPr="009E4A9D">
        <w:rPr>
          <w:rFonts w:ascii="Times New Roman" w:hAnsi="Times New Roman"/>
        </w:rPr>
        <w:t>He said that, of 25 observations</w:t>
      </w:r>
      <w:r w:rsidR="00D6456E" w:rsidRPr="009E4A9D">
        <w:rPr>
          <w:rFonts w:ascii="Times New Roman" w:hAnsi="Times New Roman"/>
        </w:rPr>
        <w:t xml:space="preserve"> which he considered</w:t>
      </w:r>
      <w:r w:rsidRPr="009E4A9D">
        <w:rPr>
          <w:rFonts w:ascii="Times New Roman" w:hAnsi="Times New Roman"/>
        </w:rPr>
        <w:t>, 19 indicated risk premiums</w:t>
      </w:r>
      <w:r w:rsidR="003502A6">
        <w:rPr>
          <w:rFonts w:ascii="Times New Roman" w:hAnsi="Times New Roman"/>
        </w:rPr>
        <w:t xml:space="preserve"> </w:t>
      </w:r>
      <w:r w:rsidRPr="009E4A9D">
        <w:rPr>
          <w:rFonts w:ascii="Times New Roman" w:hAnsi="Times New Roman"/>
        </w:rPr>
        <w:t>within a range of 4.40% and 6.08%.  He recommended that</w:t>
      </w:r>
      <w:r w:rsidR="003502A6" w:rsidRPr="003502A6">
        <w:rPr>
          <w:rFonts w:ascii="Times New Roman" w:hAnsi="Times New Roman"/>
        </w:rPr>
        <w:t xml:space="preserve"> </w:t>
      </w:r>
      <w:r w:rsidR="003502A6" w:rsidRPr="009E4A9D">
        <w:rPr>
          <w:rFonts w:ascii="Times New Roman" w:hAnsi="Times New Roman"/>
        </w:rPr>
        <w:t>that range be adopted to measure current risk premiums</w:t>
      </w:r>
      <w:r w:rsidRPr="009E4A9D">
        <w:rPr>
          <w:rFonts w:ascii="Times New Roman" w:hAnsi="Times New Roman"/>
        </w:rPr>
        <w:t>, because risk premium</w:t>
      </w:r>
      <w:r w:rsidR="00D6456E" w:rsidRPr="009E4A9D">
        <w:rPr>
          <w:rFonts w:ascii="Times New Roman" w:hAnsi="Times New Roman"/>
        </w:rPr>
        <w:t>s</w:t>
      </w:r>
      <w:r w:rsidRPr="009E4A9D">
        <w:rPr>
          <w:rFonts w:ascii="Times New Roman" w:hAnsi="Times New Roman"/>
        </w:rPr>
        <w:t xml:space="preserve"> can vary depending on market conditions and changing investor risk perceptions. (G</w:t>
      </w:r>
      <w:r w:rsidR="00FE74D4">
        <w:rPr>
          <w:rFonts w:ascii="Times New Roman" w:hAnsi="Times New Roman"/>
        </w:rPr>
        <w:t>orman Direct,</w:t>
      </w:r>
      <w:r w:rsidRPr="009E4A9D">
        <w:rPr>
          <w:rFonts w:ascii="Times New Roman" w:hAnsi="Times New Roman"/>
        </w:rPr>
        <w:t xml:space="preserve"> 29, 31)  Mr. Gorman then added a projected long-term Treasury bond yield of 4.7% to 4.40% to 6.08% risk premium range.  This produced a common equity return in the range of 9.10% (4.70% + 4.40%) to 10.78%. (4.70% + 6.08%), with a midpoint of 9.94%. (G</w:t>
      </w:r>
      <w:r w:rsidR="00FE74D4">
        <w:rPr>
          <w:rFonts w:ascii="Times New Roman" w:hAnsi="Times New Roman"/>
        </w:rPr>
        <w:t>orman Direct,</w:t>
      </w:r>
      <w:r w:rsidRPr="009E4A9D">
        <w:rPr>
          <w:rFonts w:ascii="Times New Roman" w:hAnsi="Times New Roman"/>
        </w:rPr>
        <w:t xml:space="preserve"> 31)        </w:t>
      </w:r>
    </w:p>
    <w:p w:rsidR="004C35F2" w:rsidRDefault="004C35F2" w:rsidP="00854838">
      <w:pPr>
        <w:tabs>
          <w:tab w:val="left" w:pos="3870"/>
        </w:tabs>
        <w:spacing w:line="480" w:lineRule="auto"/>
        <w:rPr>
          <w:rFonts w:ascii="Times New Roman" w:hAnsi="Times New Roman"/>
        </w:rPr>
      </w:pPr>
    </w:p>
    <w:p w:rsidR="000C4888" w:rsidRPr="009E4A9D" w:rsidRDefault="000C4888" w:rsidP="00854838">
      <w:pPr>
        <w:tabs>
          <w:tab w:val="left" w:pos="3870"/>
        </w:tabs>
        <w:spacing w:line="480" w:lineRule="auto"/>
        <w:rPr>
          <w:rFonts w:ascii="Times New Roman" w:hAnsi="Times New Roman"/>
        </w:rPr>
      </w:pPr>
      <w:r w:rsidRPr="009E4A9D">
        <w:rPr>
          <w:rFonts w:ascii="Times New Roman" w:hAnsi="Times New Roman"/>
        </w:rPr>
        <w:t xml:space="preserve">Second, </w:t>
      </w:r>
      <w:r w:rsidR="003502A6">
        <w:rPr>
          <w:rFonts w:ascii="Times New Roman" w:hAnsi="Times New Roman"/>
        </w:rPr>
        <w:t>Mr. Gorman m</w:t>
      </w:r>
      <w:r w:rsidRPr="009E4A9D">
        <w:rPr>
          <w:rFonts w:ascii="Times New Roman" w:hAnsi="Times New Roman"/>
        </w:rPr>
        <w:t>easured the difference between returns on utility common equity and yields on “A”-rated utility bonds. (G</w:t>
      </w:r>
      <w:r w:rsidR="00FE74D4">
        <w:rPr>
          <w:rFonts w:ascii="Times New Roman" w:hAnsi="Times New Roman"/>
        </w:rPr>
        <w:t>orman Direct,</w:t>
      </w:r>
      <w:r w:rsidRPr="009E4A9D">
        <w:rPr>
          <w:rFonts w:ascii="Times New Roman" w:hAnsi="Times New Roman"/>
        </w:rPr>
        <w:t xml:space="preserve"> 28)  He </w:t>
      </w:r>
      <w:r w:rsidR="003502A6">
        <w:rPr>
          <w:rFonts w:ascii="Times New Roman" w:hAnsi="Times New Roman"/>
        </w:rPr>
        <w:t xml:space="preserve">found </w:t>
      </w:r>
      <w:r w:rsidRPr="009E4A9D">
        <w:rPr>
          <w:rFonts w:ascii="Times New Roman" w:hAnsi="Times New Roman"/>
        </w:rPr>
        <w:t xml:space="preserve">that the resultant average equity risk premium </w:t>
      </w:r>
      <w:r w:rsidR="003502A6">
        <w:rPr>
          <w:rFonts w:ascii="Times New Roman" w:hAnsi="Times New Roman"/>
        </w:rPr>
        <w:t>is</w:t>
      </w:r>
      <w:r w:rsidRPr="009E4A9D">
        <w:rPr>
          <w:rFonts w:ascii="Times New Roman" w:hAnsi="Times New Roman"/>
        </w:rPr>
        <w:t xml:space="preserve"> 3.75%, and that risk premiums based on this analysis primarily</w:t>
      </w:r>
      <w:r w:rsidR="003502A6">
        <w:rPr>
          <w:rFonts w:ascii="Times New Roman" w:hAnsi="Times New Roman"/>
        </w:rPr>
        <w:t xml:space="preserve"> </w:t>
      </w:r>
      <w:r w:rsidRPr="009E4A9D">
        <w:rPr>
          <w:rFonts w:ascii="Times New Roman" w:hAnsi="Times New Roman"/>
        </w:rPr>
        <w:t>fall within the range of 3.03% to 4.59%. (G</w:t>
      </w:r>
      <w:r w:rsidR="00A131A1">
        <w:rPr>
          <w:rFonts w:ascii="Times New Roman" w:hAnsi="Times New Roman"/>
        </w:rPr>
        <w:t>orman Direct,</w:t>
      </w:r>
      <w:r w:rsidRPr="009E4A9D">
        <w:rPr>
          <w:rFonts w:ascii="Times New Roman" w:hAnsi="Times New Roman"/>
        </w:rPr>
        <w:t xml:space="preserve"> 29)   He then added those equity risk premiums to a current average return 5.60% on “Baa” rated utility bonds.  This produced a</w:t>
      </w:r>
      <w:r w:rsidR="003502A6">
        <w:rPr>
          <w:rFonts w:ascii="Times New Roman" w:hAnsi="Times New Roman"/>
        </w:rPr>
        <w:t>n ROE</w:t>
      </w:r>
      <w:r w:rsidRPr="009E4A9D">
        <w:rPr>
          <w:rFonts w:ascii="Times New Roman" w:hAnsi="Times New Roman"/>
        </w:rPr>
        <w:t xml:space="preserve"> range of 8.63% to 10.19%, with a midpoint of 9.41%.  (G</w:t>
      </w:r>
      <w:r w:rsidR="00FE74D4">
        <w:rPr>
          <w:rFonts w:ascii="Times New Roman" w:hAnsi="Times New Roman"/>
        </w:rPr>
        <w:t>orman Direct,</w:t>
      </w:r>
      <w:r w:rsidRPr="009E4A9D">
        <w:rPr>
          <w:rFonts w:ascii="Times New Roman" w:hAnsi="Times New Roman"/>
        </w:rPr>
        <w:t xml:space="preserve"> 32) </w:t>
      </w:r>
      <w:r w:rsidR="003502A6">
        <w:rPr>
          <w:rFonts w:ascii="Times New Roman" w:hAnsi="Times New Roman"/>
        </w:rPr>
        <w:t xml:space="preserve"> </w:t>
      </w:r>
      <w:r w:rsidRPr="009E4A9D">
        <w:rPr>
          <w:rFonts w:ascii="Times New Roman" w:hAnsi="Times New Roman"/>
        </w:rPr>
        <w:t xml:space="preserve">Mr. Gorman then averaged the aforementioned midpoints of 9.94% and 9.41% to produce an overall midpoint </w:t>
      </w:r>
      <w:r w:rsidR="003502A6">
        <w:rPr>
          <w:rFonts w:ascii="Times New Roman" w:hAnsi="Times New Roman"/>
        </w:rPr>
        <w:t xml:space="preserve">ROE </w:t>
      </w:r>
      <w:r w:rsidRPr="009E4A9D">
        <w:rPr>
          <w:rFonts w:ascii="Times New Roman" w:hAnsi="Times New Roman"/>
        </w:rPr>
        <w:t>estimate of 9.68% from his risk premium model. (G</w:t>
      </w:r>
      <w:r w:rsidR="00FE74D4">
        <w:rPr>
          <w:rFonts w:ascii="Times New Roman" w:hAnsi="Times New Roman"/>
        </w:rPr>
        <w:t>orman Direct,</w:t>
      </w:r>
      <w:r w:rsidRPr="009E4A9D">
        <w:rPr>
          <w:rFonts w:ascii="Times New Roman" w:hAnsi="Times New Roman"/>
        </w:rPr>
        <w:t xml:space="preserve"> 32)  </w:t>
      </w:r>
    </w:p>
    <w:p w:rsidR="000C4888" w:rsidRPr="009E4A9D" w:rsidRDefault="000C4888" w:rsidP="00854838">
      <w:pPr>
        <w:tabs>
          <w:tab w:val="left" w:pos="3870"/>
        </w:tabs>
        <w:spacing w:line="480" w:lineRule="auto"/>
        <w:rPr>
          <w:rFonts w:ascii="Times New Roman" w:hAnsi="Times New Roman"/>
        </w:rPr>
      </w:pPr>
    </w:p>
    <w:p w:rsidR="000C4888" w:rsidRPr="00846FDD" w:rsidRDefault="00846FDD" w:rsidP="00854838">
      <w:pPr>
        <w:tabs>
          <w:tab w:val="left" w:pos="3870"/>
        </w:tabs>
        <w:spacing w:line="480" w:lineRule="auto"/>
        <w:rPr>
          <w:rFonts w:ascii="Times New Roman" w:hAnsi="Times New Roman"/>
          <w:b/>
        </w:rPr>
      </w:pPr>
      <w:r>
        <w:rPr>
          <w:rFonts w:ascii="Times New Roman" w:hAnsi="Times New Roman"/>
          <w:b/>
        </w:rPr>
        <w:t xml:space="preserve">c. </w:t>
      </w:r>
      <w:r w:rsidR="006F6988">
        <w:rPr>
          <w:rFonts w:ascii="Times New Roman" w:hAnsi="Times New Roman"/>
          <w:b/>
        </w:rPr>
        <w:t xml:space="preserve"> </w:t>
      </w:r>
      <w:r w:rsidR="000C4888" w:rsidRPr="00846FDD">
        <w:rPr>
          <w:rFonts w:ascii="Times New Roman" w:hAnsi="Times New Roman"/>
          <w:b/>
        </w:rPr>
        <w:t>D</w:t>
      </w:r>
      <w:r w:rsidRPr="00846FDD">
        <w:rPr>
          <w:rFonts w:ascii="Times New Roman" w:hAnsi="Times New Roman"/>
          <w:b/>
        </w:rPr>
        <w:t>r</w:t>
      </w:r>
      <w:r w:rsidR="000C4888" w:rsidRPr="00846FDD">
        <w:rPr>
          <w:rFonts w:ascii="Times New Roman" w:hAnsi="Times New Roman"/>
          <w:b/>
        </w:rPr>
        <w:t>. H</w:t>
      </w:r>
      <w:r w:rsidRPr="00846FDD">
        <w:rPr>
          <w:rFonts w:ascii="Times New Roman" w:hAnsi="Times New Roman"/>
          <w:b/>
        </w:rPr>
        <w:t xml:space="preserve">adaway’s Risk Premium Analysis </w:t>
      </w:r>
    </w:p>
    <w:p w:rsidR="000C4888" w:rsidRPr="009E4A9D" w:rsidRDefault="004C35F2" w:rsidP="00854838">
      <w:pPr>
        <w:tabs>
          <w:tab w:val="left" w:pos="3870"/>
        </w:tabs>
        <w:spacing w:line="480" w:lineRule="auto"/>
        <w:rPr>
          <w:rFonts w:ascii="Times New Roman" w:hAnsi="Times New Roman"/>
        </w:rPr>
      </w:pPr>
      <w:r>
        <w:rPr>
          <w:rFonts w:ascii="Times New Roman" w:hAnsi="Times New Roman"/>
        </w:rPr>
        <w:t>D</w:t>
      </w:r>
      <w:r w:rsidR="000C4888" w:rsidRPr="009E4A9D">
        <w:rPr>
          <w:rFonts w:ascii="Times New Roman" w:hAnsi="Times New Roman"/>
        </w:rPr>
        <w:t xml:space="preserve">r. Hadaway’s </w:t>
      </w:r>
      <w:r w:rsidR="003502A6">
        <w:rPr>
          <w:rFonts w:ascii="Times New Roman" w:hAnsi="Times New Roman"/>
        </w:rPr>
        <w:t xml:space="preserve">carried out his </w:t>
      </w:r>
      <w:r w:rsidR="000C4888" w:rsidRPr="009E4A9D">
        <w:rPr>
          <w:rFonts w:ascii="Times New Roman" w:hAnsi="Times New Roman"/>
        </w:rPr>
        <w:t xml:space="preserve">fundamental risk premium methodology </w:t>
      </w:r>
      <w:r w:rsidR="003502A6">
        <w:rPr>
          <w:rFonts w:ascii="Times New Roman" w:hAnsi="Times New Roman"/>
        </w:rPr>
        <w:t xml:space="preserve">by, first, comparing utilities’ </w:t>
      </w:r>
      <w:r w:rsidR="000C4888" w:rsidRPr="009E4A9D">
        <w:rPr>
          <w:rFonts w:ascii="Times New Roman" w:hAnsi="Times New Roman"/>
        </w:rPr>
        <w:t xml:space="preserve">authorized ROEs to contemporaneous projected and current long term utility interest rates, with the </w:t>
      </w:r>
      <w:r w:rsidR="008652B0" w:rsidRPr="009E4A9D">
        <w:rPr>
          <w:rFonts w:ascii="Times New Roman" w:hAnsi="Times New Roman"/>
        </w:rPr>
        <w:t>difference constituting</w:t>
      </w:r>
      <w:r w:rsidR="000C4888" w:rsidRPr="009E4A9D">
        <w:rPr>
          <w:rFonts w:ascii="Times New Roman" w:hAnsi="Times New Roman"/>
        </w:rPr>
        <w:t xml:space="preserve"> </w:t>
      </w:r>
      <w:r w:rsidR="003502A6">
        <w:rPr>
          <w:rFonts w:ascii="Times New Roman" w:hAnsi="Times New Roman"/>
        </w:rPr>
        <w:t xml:space="preserve">the </w:t>
      </w:r>
      <w:r w:rsidR="000C4888" w:rsidRPr="009E4A9D">
        <w:rPr>
          <w:rFonts w:ascii="Times New Roman" w:hAnsi="Times New Roman"/>
        </w:rPr>
        <w:t xml:space="preserve">risk premium.  This produced a risk premium of 3.23%. </w:t>
      </w:r>
      <w:r w:rsidR="003502A6">
        <w:rPr>
          <w:rFonts w:ascii="Times New Roman" w:hAnsi="Times New Roman"/>
        </w:rPr>
        <w:t xml:space="preserve">He then </w:t>
      </w:r>
      <w:r w:rsidR="000C4888" w:rsidRPr="009E4A9D">
        <w:rPr>
          <w:rFonts w:ascii="Times New Roman" w:hAnsi="Times New Roman"/>
        </w:rPr>
        <w:t>add</w:t>
      </w:r>
      <w:r w:rsidR="003502A6">
        <w:rPr>
          <w:rFonts w:ascii="Times New Roman" w:hAnsi="Times New Roman"/>
        </w:rPr>
        <w:t>ed</w:t>
      </w:r>
      <w:r w:rsidR="000C4888" w:rsidRPr="009E4A9D">
        <w:rPr>
          <w:rFonts w:ascii="Times New Roman" w:hAnsi="Times New Roman"/>
        </w:rPr>
        <w:t xml:space="preserve"> his 3.23% risk premium to forecasted and current three months average triple-B utility bond interest yields of 6.22% to 6.57%. </w:t>
      </w:r>
      <w:r w:rsidR="00E22FD1" w:rsidRPr="009E4A9D">
        <w:rPr>
          <w:rFonts w:ascii="Times New Roman" w:hAnsi="Times New Roman"/>
        </w:rPr>
        <w:t>(</w:t>
      </w:r>
      <w:r w:rsidR="00E22FD1">
        <w:rPr>
          <w:rFonts w:ascii="Times New Roman" w:hAnsi="Times New Roman"/>
        </w:rPr>
        <w:t>Hadaway Direct, Sch. 6</w:t>
      </w:r>
      <w:r w:rsidR="00E22FD1" w:rsidRPr="009E4A9D">
        <w:rPr>
          <w:rFonts w:ascii="Times New Roman" w:hAnsi="Times New Roman"/>
        </w:rPr>
        <w:t>)</w:t>
      </w:r>
      <w:r w:rsidR="00E22FD1">
        <w:rPr>
          <w:rFonts w:ascii="Times New Roman" w:hAnsi="Times New Roman"/>
        </w:rPr>
        <w:t xml:space="preserve">  </w:t>
      </w:r>
      <w:r w:rsidR="003502A6">
        <w:rPr>
          <w:rFonts w:ascii="Times New Roman" w:hAnsi="Times New Roman"/>
        </w:rPr>
        <w:t xml:space="preserve">Had he stopped there, </w:t>
      </w:r>
      <w:r w:rsidR="000C4888" w:rsidRPr="009E4A9D">
        <w:rPr>
          <w:rFonts w:ascii="Times New Roman" w:hAnsi="Times New Roman"/>
        </w:rPr>
        <w:t xml:space="preserve">  </w:t>
      </w:r>
    </w:p>
    <w:p w:rsidR="00DE6493" w:rsidRDefault="000C4888" w:rsidP="00854838">
      <w:pPr>
        <w:tabs>
          <w:tab w:val="left" w:pos="3870"/>
        </w:tabs>
        <w:spacing w:line="480" w:lineRule="auto"/>
        <w:rPr>
          <w:rFonts w:ascii="Times New Roman" w:hAnsi="Times New Roman"/>
        </w:rPr>
      </w:pPr>
      <w:r w:rsidRPr="009E4A9D">
        <w:rPr>
          <w:rFonts w:ascii="Times New Roman" w:hAnsi="Times New Roman"/>
        </w:rPr>
        <w:t>Dr. Hadaway</w:t>
      </w:r>
      <w:r w:rsidR="003502A6">
        <w:rPr>
          <w:rFonts w:ascii="Times New Roman" w:hAnsi="Times New Roman"/>
        </w:rPr>
        <w:t>’s risk premium</w:t>
      </w:r>
      <w:r w:rsidRPr="009E4A9D">
        <w:rPr>
          <w:rFonts w:ascii="Times New Roman" w:hAnsi="Times New Roman"/>
        </w:rPr>
        <w:t xml:space="preserve"> methodology would have produced a recommended ROE range of 9.45% (3.23% + 6.22%) to 9.80%.      </w:t>
      </w:r>
    </w:p>
    <w:p w:rsidR="004C35F2" w:rsidRDefault="004C35F2" w:rsidP="00854838">
      <w:pPr>
        <w:tabs>
          <w:tab w:val="left" w:pos="3870"/>
        </w:tabs>
        <w:spacing w:line="480" w:lineRule="auto"/>
        <w:rPr>
          <w:rFonts w:ascii="Times New Roman" w:hAnsi="Times New Roman"/>
        </w:rPr>
      </w:pPr>
    </w:p>
    <w:p w:rsidR="00361982" w:rsidRPr="009E4A9D" w:rsidRDefault="000C4888" w:rsidP="00854838">
      <w:pPr>
        <w:tabs>
          <w:tab w:val="left" w:pos="3870"/>
        </w:tabs>
        <w:spacing w:line="480" w:lineRule="auto"/>
        <w:rPr>
          <w:rFonts w:ascii="Times New Roman" w:hAnsi="Times New Roman"/>
        </w:rPr>
      </w:pPr>
      <w:r w:rsidRPr="009E4A9D">
        <w:rPr>
          <w:rFonts w:ascii="Times New Roman" w:hAnsi="Times New Roman"/>
        </w:rPr>
        <w:t xml:space="preserve">But Dr. Hadaway </w:t>
      </w:r>
      <w:r w:rsidR="003502A6">
        <w:rPr>
          <w:rFonts w:ascii="Times New Roman" w:hAnsi="Times New Roman"/>
        </w:rPr>
        <w:t>asserted</w:t>
      </w:r>
      <w:r w:rsidRPr="009E4A9D">
        <w:rPr>
          <w:rFonts w:ascii="Times New Roman" w:hAnsi="Times New Roman"/>
        </w:rPr>
        <w:t xml:space="preserve"> that his 3.23% risk premium required further work to reflect present conditions.  He said that there is a “well-documented” inverse relationship between risk premiums and interest rate levels</w:t>
      </w:r>
      <w:r w:rsidR="00DE6493">
        <w:rPr>
          <w:rFonts w:ascii="Times New Roman" w:hAnsi="Times New Roman"/>
        </w:rPr>
        <w:t>.</w:t>
      </w:r>
      <w:r w:rsidRPr="009E4A9D">
        <w:rPr>
          <w:rFonts w:ascii="Times New Roman" w:hAnsi="Times New Roman"/>
        </w:rPr>
        <w:t xml:space="preserve"> (H</w:t>
      </w:r>
      <w:r w:rsidR="00E22FD1">
        <w:rPr>
          <w:rFonts w:ascii="Times New Roman" w:hAnsi="Times New Roman"/>
        </w:rPr>
        <w:t>adaway Direct,</w:t>
      </w:r>
      <w:r w:rsidRPr="009E4A9D">
        <w:rPr>
          <w:rFonts w:ascii="Times New Roman" w:hAnsi="Times New Roman"/>
        </w:rPr>
        <w:t xml:space="preserve"> 44)  This means that, when interest rates are relatively low, risk premiums are relatively high, and </w:t>
      </w:r>
      <w:r w:rsidRPr="009E4A9D">
        <w:rPr>
          <w:rFonts w:ascii="Times New Roman" w:hAnsi="Times New Roman"/>
          <w:i/>
        </w:rPr>
        <w:t xml:space="preserve">vice </w:t>
      </w:r>
      <w:r w:rsidRPr="00DE6493">
        <w:rPr>
          <w:rFonts w:ascii="Times New Roman" w:hAnsi="Times New Roman"/>
          <w:i/>
        </w:rPr>
        <w:t>versa</w:t>
      </w:r>
      <w:r w:rsidRPr="009E4A9D">
        <w:rPr>
          <w:rFonts w:ascii="Times New Roman" w:hAnsi="Times New Roman"/>
        </w:rPr>
        <w:t>.  Dr. Hadaway asserted that, in this era of low interest rates, this supposed phenomenon</w:t>
      </w:r>
      <w:r w:rsidR="00DE6493">
        <w:rPr>
          <w:rFonts w:ascii="Times New Roman" w:hAnsi="Times New Roman"/>
        </w:rPr>
        <w:t>, unless its effect is represented in risk premium studies,</w:t>
      </w:r>
      <w:r w:rsidRPr="009E4A9D">
        <w:rPr>
          <w:rFonts w:ascii="Times New Roman" w:hAnsi="Times New Roman"/>
        </w:rPr>
        <w:t xml:space="preserve"> </w:t>
      </w:r>
      <w:r w:rsidR="00DE6493">
        <w:rPr>
          <w:rFonts w:ascii="Times New Roman" w:hAnsi="Times New Roman"/>
        </w:rPr>
        <w:t xml:space="preserve">causes traditionally-calculated risk premiums to be </w:t>
      </w:r>
      <w:r w:rsidR="00697678">
        <w:rPr>
          <w:rFonts w:ascii="Times New Roman" w:hAnsi="Times New Roman"/>
        </w:rPr>
        <w:t>under</w:t>
      </w:r>
      <w:r w:rsidR="00DE6493">
        <w:rPr>
          <w:rFonts w:ascii="Times New Roman" w:hAnsi="Times New Roman"/>
        </w:rPr>
        <w:t xml:space="preserve">stated.  He explained that, to represent the effect of this phenomenon, </w:t>
      </w:r>
      <w:r w:rsidRPr="009E4A9D">
        <w:rPr>
          <w:rFonts w:ascii="Times New Roman" w:hAnsi="Times New Roman"/>
        </w:rPr>
        <w:t>he used a regression analysis, wh</w:t>
      </w:r>
      <w:r w:rsidR="00DE6493">
        <w:rPr>
          <w:rFonts w:ascii="Times New Roman" w:hAnsi="Times New Roman"/>
        </w:rPr>
        <w:t>ich</w:t>
      </w:r>
      <w:r w:rsidRPr="009E4A9D">
        <w:rPr>
          <w:rFonts w:ascii="Times New Roman" w:hAnsi="Times New Roman"/>
        </w:rPr>
        <w:t xml:space="preserve"> he called “negative interest rate change coefficient in conjunction with current interest rates</w:t>
      </w:r>
      <w:r w:rsidR="00DE6493">
        <w:rPr>
          <w:rFonts w:ascii="Times New Roman" w:hAnsi="Times New Roman"/>
        </w:rPr>
        <w:t>,</w:t>
      </w:r>
      <w:r w:rsidRPr="009E4A9D">
        <w:rPr>
          <w:rFonts w:ascii="Times New Roman" w:hAnsi="Times New Roman"/>
        </w:rPr>
        <w:t xml:space="preserve">” to </w:t>
      </w:r>
      <w:r w:rsidR="00DE6493">
        <w:rPr>
          <w:rFonts w:ascii="Times New Roman" w:hAnsi="Times New Roman"/>
        </w:rPr>
        <w:t>increase his calculated risk premium in line with current the low interest rates. (</w:t>
      </w:r>
      <w:r w:rsidR="00D6456E" w:rsidRPr="009E4A9D">
        <w:rPr>
          <w:rFonts w:ascii="Times New Roman" w:hAnsi="Times New Roman"/>
        </w:rPr>
        <w:t>H</w:t>
      </w:r>
      <w:r w:rsidR="00E22FD1">
        <w:rPr>
          <w:rFonts w:ascii="Times New Roman" w:hAnsi="Times New Roman"/>
        </w:rPr>
        <w:t>adaway Direct</w:t>
      </w:r>
      <w:r w:rsidRPr="009E4A9D">
        <w:rPr>
          <w:rFonts w:ascii="Times New Roman" w:hAnsi="Times New Roman"/>
        </w:rPr>
        <w:t xml:space="preserve"> 44</w:t>
      </w:r>
      <w:r w:rsidR="00C771A7" w:rsidRPr="009E4A9D">
        <w:rPr>
          <w:rFonts w:ascii="Times New Roman" w:hAnsi="Times New Roman"/>
        </w:rPr>
        <w:t xml:space="preserve">, </w:t>
      </w:r>
      <w:r w:rsidRPr="009E4A9D">
        <w:rPr>
          <w:rFonts w:ascii="Times New Roman" w:hAnsi="Times New Roman"/>
        </w:rPr>
        <w:t>G</w:t>
      </w:r>
      <w:r w:rsidR="00E22FD1">
        <w:rPr>
          <w:rFonts w:ascii="Times New Roman" w:hAnsi="Times New Roman"/>
        </w:rPr>
        <w:t>orman Rebuttal, 11</w:t>
      </w:r>
      <w:r w:rsidRPr="009E4A9D">
        <w:rPr>
          <w:rFonts w:ascii="Times New Roman" w:hAnsi="Times New Roman"/>
        </w:rPr>
        <w:t>)  This dubious</w:t>
      </w:r>
      <w:r w:rsidR="00DE6493">
        <w:rPr>
          <w:rFonts w:ascii="Times New Roman" w:hAnsi="Times New Roman"/>
        </w:rPr>
        <w:t xml:space="preserve"> premise, and the pivotal regression analysis which Dr. Hadawy has based upon it, constitutes </w:t>
      </w:r>
      <w:r w:rsidRPr="009E4A9D">
        <w:rPr>
          <w:rFonts w:ascii="Times New Roman" w:hAnsi="Times New Roman"/>
        </w:rPr>
        <w:t xml:space="preserve">Dr. Hadawy’s </w:t>
      </w:r>
      <w:r w:rsidR="00DE6493">
        <w:rPr>
          <w:rFonts w:ascii="Times New Roman" w:hAnsi="Times New Roman"/>
        </w:rPr>
        <w:t xml:space="preserve">only basis for </w:t>
      </w:r>
      <w:r w:rsidRPr="009E4A9D">
        <w:rPr>
          <w:rFonts w:ascii="Times New Roman" w:hAnsi="Times New Roman"/>
        </w:rPr>
        <w:t xml:space="preserve">increasing </w:t>
      </w:r>
      <w:r w:rsidR="000F7601">
        <w:rPr>
          <w:rFonts w:ascii="Times New Roman" w:hAnsi="Times New Roman"/>
        </w:rPr>
        <w:t>his</w:t>
      </w:r>
      <w:r w:rsidRPr="009E4A9D">
        <w:rPr>
          <w:rFonts w:ascii="Times New Roman" w:hAnsi="Times New Roman"/>
        </w:rPr>
        <w:t xml:space="preserve"> traditionally-calculated risk premium of by over thirty percent, </w:t>
      </w:r>
      <w:r w:rsidR="00DE6493">
        <w:rPr>
          <w:rFonts w:ascii="Times New Roman" w:hAnsi="Times New Roman"/>
        </w:rPr>
        <w:t xml:space="preserve">from </w:t>
      </w:r>
      <w:r w:rsidR="00DE6493" w:rsidRPr="009E4A9D">
        <w:rPr>
          <w:rFonts w:ascii="Times New Roman" w:hAnsi="Times New Roman"/>
        </w:rPr>
        <w:t xml:space="preserve">3.23% </w:t>
      </w:r>
      <w:r w:rsidRPr="009E4A9D">
        <w:rPr>
          <w:rFonts w:ascii="Times New Roman" w:hAnsi="Times New Roman"/>
        </w:rPr>
        <w:t>all the way up to up to 4.25% and 4.39</w:t>
      </w:r>
      <w:r w:rsidR="00361982" w:rsidRPr="009E4A9D">
        <w:rPr>
          <w:rFonts w:ascii="Times New Roman" w:hAnsi="Times New Roman"/>
        </w:rPr>
        <w:t xml:space="preserve">%. </w:t>
      </w:r>
      <w:r w:rsidR="00DE6493">
        <w:rPr>
          <w:rFonts w:ascii="Times New Roman" w:hAnsi="Times New Roman"/>
        </w:rPr>
        <w:t xml:space="preserve"> Th</w:t>
      </w:r>
      <w:r w:rsidR="000F7601">
        <w:rPr>
          <w:rFonts w:ascii="Times New Roman" w:hAnsi="Times New Roman"/>
        </w:rPr>
        <w:t xml:space="preserve">ese inflated risk premiums, and these alone, </w:t>
      </w:r>
      <w:r w:rsidR="00DE6493">
        <w:rPr>
          <w:rFonts w:ascii="Times New Roman" w:hAnsi="Times New Roman"/>
        </w:rPr>
        <w:t>enabled Dr. Hadaway to a</w:t>
      </w:r>
      <w:r w:rsidR="000F7601">
        <w:rPr>
          <w:rFonts w:ascii="Times New Roman" w:hAnsi="Times New Roman"/>
        </w:rPr>
        <w:t xml:space="preserve">ttain recommended </w:t>
      </w:r>
      <w:r w:rsidR="00DE6493" w:rsidRPr="009E4A9D">
        <w:rPr>
          <w:rFonts w:ascii="Times New Roman" w:hAnsi="Times New Roman"/>
        </w:rPr>
        <w:t>ROEs of 10.82% to 10.61%. (G</w:t>
      </w:r>
      <w:r w:rsidR="00E22FD1">
        <w:rPr>
          <w:rFonts w:ascii="Times New Roman" w:hAnsi="Times New Roman"/>
        </w:rPr>
        <w:t>orman Rebuttal,</w:t>
      </w:r>
      <w:r w:rsidR="00DE6493" w:rsidRPr="009E4A9D">
        <w:rPr>
          <w:rFonts w:ascii="Times New Roman" w:hAnsi="Times New Roman"/>
        </w:rPr>
        <w:t xml:space="preserve"> 11)  Later, Dr. Hadaway </w:t>
      </w:r>
      <w:r w:rsidR="000F7601">
        <w:rPr>
          <w:rFonts w:ascii="Times New Roman" w:hAnsi="Times New Roman"/>
        </w:rPr>
        <w:t>felt compelled to l</w:t>
      </w:r>
      <w:r w:rsidR="000F7601" w:rsidRPr="009E4A9D">
        <w:rPr>
          <w:rFonts w:ascii="Times New Roman" w:hAnsi="Times New Roman"/>
        </w:rPr>
        <w:t>ower this range to 10.05 - 10.24</w:t>
      </w:r>
      <w:r w:rsidR="00E22FD1">
        <w:rPr>
          <w:rFonts w:ascii="Times New Roman" w:hAnsi="Times New Roman"/>
        </w:rPr>
        <w:t>.</w:t>
      </w:r>
      <w:r w:rsidR="000F7601" w:rsidRPr="009E4A9D">
        <w:rPr>
          <w:rFonts w:ascii="Times New Roman" w:hAnsi="Times New Roman"/>
        </w:rPr>
        <w:t xml:space="preserve">  (H</w:t>
      </w:r>
      <w:r w:rsidR="00E22FD1">
        <w:rPr>
          <w:rFonts w:ascii="Times New Roman" w:hAnsi="Times New Roman"/>
        </w:rPr>
        <w:t xml:space="preserve">adaway Rebuttal, </w:t>
      </w:r>
      <w:r w:rsidR="000F7601" w:rsidRPr="009E4A9D">
        <w:rPr>
          <w:rFonts w:ascii="Times New Roman" w:hAnsi="Times New Roman"/>
        </w:rPr>
        <w:t xml:space="preserve">23) </w:t>
      </w:r>
      <w:r w:rsidR="000F7601">
        <w:rPr>
          <w:rFonts w:ascii="Times New Roman" w:hAnsi="Times New Roman"/>
        </w:rPr>
        <w:t xml:space="preserve">  This demonstrates that, even with this dubious procedure to assist him, Dr. Hadaway could not contrive to make his own ROE recommendations high enough to comport with the Company’s request.  This difficulty also likely explains the reason why Dr. Hadaway at that point </w:t>
      </w:r>
      <w:r w:rsidR="000F7601" w:rsidRPr="009E4A9D">
        <w:rPr>
          <w:rFonts w:ascii="Times New Roman" w:hAnsi="Times New Roman"/>
        </w:rPr>
        <w:t xml:space="preserve">chose to “discount” </w:t>
      </w:r>
      <w:r w:rsidR="000F7601">
        <w:rPr>
          <w:rFonts w:ascii="Times New Roman" w:hAnsi="Times New Roman"/>
        </w:rPr>
        <w:t>his own risk premium study, and base his ROE recommendation entirely upon his DCF presentation</w:t>
      </w:r>
      <w:r w:rsidR="000F7601" w:rsidRPr="009E4A9D">
        <w:rPr>
          <w:rFonts w:ascii="Times New Roman" w:hAnsi="Times New Roman"/>
        </w:rPr>
        <w:t>. (H</w:t>
      </w:r>
      <w:r w:rsidR="00E22FD1">
        <w:rPr>
          <w:rFonts w:ascii="Times New Roman" w:hAnsi="Times New Roman"/>
        </w:rPr>
        <w:t>adaway Rebuttal</w:t>
      </w:r>
      <w:r w:rsidR="000F7601" w:rsidRPr="009E4A9D">
        <w:rPr>
          <w:rFonts w:ascii="Times New Roman" w:hAnsi="Times New Roman"/>
        </w:rPr>
        <w:t>, H</w:t>
      </w:r>
      <w:r w:rsidR="00E22FD1">
        <w:rPr>
          <w:rFonts w:ascii="Times New Roman" w:hAnsi="Times New Roman"/>
        </w:rPr>
        <w:t>adaway</w:t>
      </w:r>
      <w:r w:rsidR="000F7601" w:rsidRPr="009E4A9D">
        <w:rPr>
          <w:rFonts w:ascii="Times New Roman" w:hAnsi="Times New Roman"/>
        </w:rPr>
        <w:t xml:space="preserve"> Sur</w:t>
      </w:r>
      <w:r w:rsidR="00E22FD1">
        <w:rPr>
          <w:rFonts w:ascii="Times New Roman" w:hAnsi="Times New Roman"/>
        </w:rPr>
        <w:t>rebuttal.</w:t>
      </w:r>
      <w:r w:rsidR="000F7601" w:rsidRPr="009E4A9D">
        <w:rPr>
          <w:rFonts w:ascii="Times New Roman" w:hAnsi="Times New Roman"/>
        </w:rPr>
        <w:t xml:space="preserve"> 5</w:t>
      </w:r>
      <w:r w:rsidR="001B54DB">
        <w:rPr>
          <w:rFonts w:ascii="Times New Roman" w:hAnsi="Times New Roman"/>
        </w:rPr>
        <w:t>, 9</w:t>
      </w:r>
      <w:r w:rsidR="000F7601" w:rsidRPr="009E4A9D">
        <w:rPr>
          <w:rFonts w:ascii="Times New Roman" w:hAnsi="Times New Roman"/>
        </w:rPr>
        <w:t xml:space="preserve">)   </w:t>
      </w:r>
    </w:p>
    <w:p w:rsidR="004C35F2" w:rsidRDefault="004C35F2" w:rsidP="00854838">
      <w:pPr>
        <w:tabs>
          <w:tab w:val="left" w:pos="3870"/>
        </w:tabs>
        <w:spacing w:line="480" w:lineRule="auto"/>
        <w:rPr>
          <w:rFonts w:ascii="Times New Roman" w:hAnsi="Times New Roman"/>
        </w:rPr>
      </w:pPr>
    </w:p>
    <w:p w:rsidR="00361982" w:rsidRPr="009E4A9D" w:rsidRDefault="000C4888" w:rsidP="00854838">
      <w:pPr>
        <w:tabs>
          <w:tab w:val="left" w:pos="3870"/>
        </w:tabs>
        <w:spacing w:line="480" w:lineRule="auto"/>
        <w:rPr>
          <w:rFonts w:ascii="Times New Roman" w:hAnsi="Times New Roman"/>
        </w:rPr>
      </w:pPr>
      <w:r w:rsidRPr="009E4A9D">
        <w:rPr>
          <w:rFonts w:ascii="Times New Roman" w:hAnsi="Times New Roman"/>
        </w:rPr>
        <w:t>Mr. Gorman asserted strongly that it is improper to assume, and then dramatically adjust for, some supposed lockstep inverse relationship between interest rates and risk premium. (G</w:t>
      </w:r>
      <w:r w:rsidR="00E22FD1">
        <w:rPr>
          <w:rFonts w:ascii="Times New Roman" w:hAnsi="Times New Roman"/>
        </w:rPr>
        <w:t xml:space="preserve">orman Rebuttal, </w:t>
      </w:r>
      <w:r w:rsidRPr="009E4A9D">
        <w:rPr>
          <w:rFonts w:ascii="Times New Roman" w:hAnsi="Times New Roman"/>
        </w:rPr>
        <w:t>13)  He said that interest rates move in response to changes investor perception of the relative risk of bond investments relative to equities, and not simply in response to nominal changes in interest levels. (G</w:t>
      </w:r>
      <w:r w:rsidR="00E22FD1">
        <w:rPr>
          <w:rFonts w:ascii="Times New Roman" w:hAnsi="Times New Roman"/>
        </w:rPr>
        <w:t xml:space="preserve">orman Rebuttal, </w:t>
      </w:r>
      <w:r w:rsidRPr="009E4A9D">
        <w:rPr>
          <w:rFonts w:ascii="Times New Roman" w:hAnsi="Times New Roman"/>
        </w:rPr>
        <w:t xml:space="preserve">14; T-2866 </w:t>
      </w:r>
      <w:r w:rsidRPr="009E4A9D">
        <w:rPr>
          <w:rFonts w:ascii="Times New Roman" w:hAnsi="Times New Roman"/>
          <w:i/>
        </w:rPr>
        <w:t>et seq.</w:t>
      </w:r>
      <w:r w:rsidRPr="009E4A9D">
        <w:rPr>
          <w:rFonts w:ascii="Times New Roman" w:hAnsi="Times New Roman"/>
        </w:rPr>
        <w:t xml:space="preserve">) </w:t>
      </w:r>
    </w:p>
    <w:p w:rsidR="00361982" w:rsidRPr="009E4A9D" w:rsidRDefault="00361982" w:rsidP="00854838">
      <w:pPr>
        <w:tabs>
          <w:tab w:val="left" w:pos="3870"/>
        </w:tabs>
        <w:spacing w:line="480" w:lineRule="auto"/>
        <w:rPr>
          <w:rFonts w:ascii="Times New Roman" w:hAnsi="Times New Roman"/>
        </w:rPr>
      </w:pPr>
    </w:p>
    <w:p w:rsidR="000C4888" w:rsidRPr="00846FDD" w:rsidRDefault="00846FDD" w:rsidP="00846FDD">
      <w:pPr>
        <w:tabs>
          <w:tab w:val="left" w:pos="3870"/>
        </w:tabs>
        <w:spacing w:line="360" w:lineRule="auto"/>
        <w:rPr>
          <w:rFonts w:ascii="Times New Roman" w:hAnsi="Times New Roman"/>
        </w:rPr>
      </w:pPr>
      <w:r>
        <w:rPr>
          <w:rFonts w:ascii="Times New Roman" w:hAnsi="Times New Roman"/>
          <w:b/>
        </w:rPr>
        <w:t>6</w:t>
      </w:r>
      <w:r w:rsidRPr="0080608D">
        <w:rPr>
          <w:rFonts w:ascii="Times New Roman" w:hAnsi="Times New Roman"/>
          <w:b/>
        </w:rPr>
        <w:t xml:space="preserve">.  </w:t>
      </w:r>
      <w:r>
        <w:rPr>
          <w:rFonts w:ascii="Times New Roman" w:hAnsi="Times New Roman"/>
          <w:b/>
        </w:rPr>
        <w:t xml:space="preserve">The Witnesses’ CAPM--Based ROE Analyses and Recommendations </w:t>
      </w:r>
      <w:r w:rsidRPr="0080608D">
        <w:rPr>
          <w:rFonts w:ascii="Times New Roman" w:hAnsi="Times New Roman"/>
          <w:b/>
        </w:rPr>
        <w:t xml:space="preserve"> </w:t>
      </w:r>
    </w:p>
    <w:p w:rsidR="000C4888" w:rsidRPr="00846FDD" w:rsidRDefault="00846FDD" w:rsidP="00854838">
      <w:pPr>
        <w:tabs>
          <w:tab w:val="left" w:pos="3870"/>
        </w:tabs>
        <w:spacing w:line="480" w:lineRule="auto"/>
        <w:rPr>
          <w:rFonts w:ascii="Times New Roman" w:hAnsi="Times New Roman"/>
        </w:rPr>
      </w:pPr>
      <w:r>
        <w:rPr>
          <w:rFonts w:ascii="Times New Roman" w:hAnsi="Times New Roman"/>
          <w:b/>
        </w:rPr>
        <w:t>a</w:t>
      </w:r>
      <w:r w:rsidRPr="00846FDD">
        <w:rPr>
          <w:rFonts w:ascii="Times New Roman" w:hAnsi="Times New Roman"/>
          <w:b/>
        </w:rPr>
        <w:t xml:space="preserve">.  The Capital Asset Pricing Model (“CAPM”) Methodology </w:t>
      </w:r>
    </w:p>
    <w:p w:rsidR="00373E58" w:rsidRDefault="000C4888" w:rsidP="00854838">
      <w:pPr>
        <w:tabs>
          <w:tab w:val="left" w:pos="3870"/>
        </w:tabs>
        <w:spacing w:line="480" w:lineRule="auto"/>
        <w:rPr>
          <w:rFonts w:ascii="Times New Roman" w:hAnsi="Times New Roman"/>
        </w:rPr>
      </w:pPr>
      <w:r w:rsidRPr="009E4A9D">
        <w:rPr>
          <w:rFonts w:ascii="Times New Roman" w:hAnsi="Times New Roman"/>
        </w:rPr>
        <w:t xml:space="preserve">The CAPM </w:t>
      </w:r>
      <w:r w:rsidR="001B54DB">
        <w:rPr>
          <w:rFonts w:ascii="Times New Roman" w:hAnsi="Times New Roman"/>
        </w:rPr>
        <w:t>methodology</w:t>
      </w:r>
      <w:r w:rsidRPr="009E4A9D">
        <w:rPr>
          <w:rFonts w:ascii="Times New Roman" w:hAnsi="Times New Roman"/>
        </w:rPr>
        <w:t xml:space="preserve"> is premised upon the theory that the market does not compensate the investor for assuming “business” or “non-systemic” risks that the investor could avoid by owning a diversified investment portfolio.  Rather, the market compensates the investor only for “non-diversifiable” risks that the investor can</w:t>
      </w:r>
      <w:r w:rsidRPr="009E4A9D">
        <w:rPr>
          <w:rFonts w:ascii="Times New Roman" w:hAnsi="Times New Roman"/>
          <w:i/>
        </w:rPr>
        <w:t>not</w:t>
      </w:r>
      <w:r w:rsidRPr="009E4A9D">
        <w:rPr>
          <w:rFonts w:ascii="Times New Roman" w:hAnsi="Times New Roman"/>
        </w:rPr>
        <w:t xml:space="preserve"> avoid by diversification.</w:t>
      </w:r>
      <w:r w:rsidR="00373E58">
        <w:rPr>
          <w:rFonts w:ascii="Times New Roman" w:hAnsi="Times New Roman"/>
        </w:rPr>
        <w:t xml:space="preserve">  </w:t>
      </w:r>
      <w:r w:rsidRPr="009E4A9D">
        <w:rPr>
          <w:rFonts w:ascii="Times New Roman" w:hAnsi="Times New Roman"/>
        </w:rPr>
        <w:t xml:space="preserve">To develop an ROE on this basis, the CAPM methodology aims to calculate, for an individual company’s stock,  a risk premium that represents only the subject stock’s non-diversifiable risks (these are called “non-systemic” or “business” risks), and does not include that stock’s diversifiable risks. </w:t>
      </w:r>
    </w:p>
    <w:p w:rsidR="004C35F2" w:rsidRDefault="00AF43AE" w:rsidP="00854838">
      <w:pPr>
        <w:tabs>
          <w:tab w:val="left" w:pos="3870"/>
        </w:tabs>
        <w:spacing w:line="480" w:lineRule="auto"/>
        <w:rPr>
          <w:rFonts w:ascii="Times New Roman" w:hAnsi="Times New Roman"/>
        </w:rPr>
      </w:pPr>
      <w:r>
        <w:rPr>
          <w:rFonts w:ascii="Times New Roman" w:hAnsi="Times New Roman"/>
        </w:rPr>
        <w:t xml:space="preserve">     </w:t>
      </w:r>
    </w:p>
    <w:p w:rsidR="009A69F7" w:rsidRPr="009E4A9D" w:rsidRDefault="000C4888" w:rsidP="00854838">
      <w:pPr>
        <w:tabs>
          <w:tab w:val="left" w:pos="3870"/>
        </w:tabs>
        <w:spacing w:line="480" w:lineRule="auto"/>
        <w:rPr>
          <w:rFonts w:ascii="Times New Roman" w:hAnsi="Times New Roman"/>
        </w:rPr>
      </w:pPr>
      <w:r w:rsidRPr="009E4A9D">
        <w:rPr>
          <w:rFonts w:ascii="Times New Roman" w:hAnsi="Times New Roman"/>
        </w:rPr>
        <w:t>To do</w:t>
      </w:r>
      <w:r w:rsidR="00373E58">
        <w:rPr>
          <w:rFonts w:ascii="Times New Roman" w:hAnsi="Times New Roman"/>
        </w:rPr>
        <w:t xml:space="preserve"> this,</w:t>
      </w:r>
      <w:r w:rsidRPr="009E4A9D">
        <w:rPr>
          <w:rFonts w:ascii="Times New Roman" w:hAnsi="Times New Roman"/>
        </w:rPr>
        <w:t xml:space="preserve"> the CAPM first identifies the s</w:t>
      </w:r>
      <w:r w:rsidR="00373E58">
        <w:rPr>
          <w:rFonts w:ascii="Times New Roman" w:hAnsi="Times New Roman"/>
        </w:rPr>
        <w:t>ubject</w:t>
      </w:r>
      <w:r w:rsidRPr="009E4A9D">
        <w:rPr>
          <w:rFonts w:ascii="Times New Roman" w:hAnsi="Times New Roman"/>
        </w:rPr>
        <w:t xml:space="preserve"> stock’s specific risk factor.  Such a risk factor is referred to in CAPM methodology as a </w:t>
      </w:r>
      <w:r w:rsidRPr="009E4A9D">
        <w:rPr>
          <w:rFonts w:ascii="Times New Roman" w:hAnsi="Times New Roman"/>
          <w:i/>
        </w:rPr>
        <w:t xml:space="preserve">beta.  </w:t>
      </w:r>
      <w:r w:rsidRPr="009E4A9D">
        <w:rPr>
          <w:rFonts w:ascii="Times New Roman" w:hAnsi="Times New Roman"/>
        </w:rPr>
        <w:t xml:space="preserve"> </w:t>
      </w:r>
      <w:r w:rsidR="00373E58">
        <w:rPr>
          <w:rFonts w:ascii="Times New Roman" w:hAnsi="Times New Roman"/>
        </w:rPr>
        <w:t xml:space="preserve">Next, </w:t>
      </w:r>
      <w:r w:rsidRPr="009E4A9D">
        <w:rPr>
          <w:rFonts w:ascii="Times New Roman" w:hAnsi="Times New Roman"/>
        </w:rPr>
        <w:t>a risk premium for an appropriate market portfolio</w:t>
      </w:r>
      <w:r w:rsidR="00373E58">
        <w:rPr>
          <w:rFonts w:ascii="Times New Roman" w:hAnsi="Times New Roman"/>
        </w:rPr>
        <w:t xml:space="preserve"> is identified.</w:t>
      </w:r>
      <w:r w:rsidRPr="009E4A9D">
        <w:rPr>
          <w:rFonts w:ascii="Times New Roman" w:hAnsi="Times New Roman"/>
        </w:rPr>
        <w:t xml:space="preserve">  The </w:t>
      </w:r>
      <w:r w:rsidRPr="009E4A9D">
        <w:rPr>
          <w:rFonts w:ascii="Times New Roman" w:hAnsi="Times New Roman"/>
          <w:i/>
        </w:rPr>
        <w:t>beta</w:t>
      </w:r>
      <w:r w:rsidRPr="009E4A9D">
        <w:rPr>
          <w:rFonts w:ascii="Times New Roman" w:hAnsi="Times New Roman"/>
        </w:rPr>
        <w:t xml:space="preserve"> is then multiplied by th</w:t>
      </w:r>
      <w:r w:rsidR="00373E58">
        <w:rPr>
          <w:rFonts w:ascii="Times New Roman" w:hAnsi="Times New Roman"/>
        </w:rPr>
        <w:t>at</w:t>
      </w:r>
      <w:r w:rsidRPr="009E4A9D">
        <w:rPr>
          <w:rFonts w:ascii="Times New Roman" w:hAnsi="Times New Roman"/>
        </w:rPr>
        <w:t xml:space="preserve"> market </w:t>
      </w:r>
      <w:r w:rsidR="00373E58">
        <w:rPr>
          <w:rFonts w:ascii="Times New Roman" w:hAnsi="Times New Roman"/>
        </w:rPr>
        <w:t xml:space="preserve">portfolio </w:t>
      </w:r>
      <w:r w:rsidRPr="009E4A9D">
        <w:rPr>
          <w:rFonts w:ascii="Times New Roman" w:hAnsi="Times New Roman"/>
        </w:rPr>
        <w:t>risk premium.  The product measures and represents the individual stock’s non-diversifiable risks.  Th</w:t>
      </w:r>
      <w:r w:rsidR="00373E58">
        <w:rPr>
          <w:rFonts w:ascii="Times New Roman" w:hAnsi="Times New Roman"/>
        </w:rPr>
        <w:t>at</w:t>
      </w:r>
      <w:r w:rsidRPr="009E4A9D">
        <w:rPr>
          <w:rFonts w:ascii="Times New Roman" w:hAnsi="Times New Roman"/>
        </w:rPr>
        <w:t xml:space="preserve"> figure for the </w:t>
      </w:r>
      <w:r w:rsidR="00373E58">
        <w:rPr>
          <w:rFonts w:ascii="Times New Roman" w:hAnsi="Times New Roman"/>
        </w:rPr>
        <w:t xml:space="preserve">stock’s </w:t>
      </w:r>
      <w:r w:rsidRPr="009E4A9D">
        <w:rPr>
          <w:rFonts w:ascii="Times New Roman" w:hAnsi="Times New Roman"/>
        </w:rPr>
        <w:t>non-diversifiable risks is then added to a risk-free rate. The sum of the non-diversifiable risk</w:t>
      </w:r>
      <w:r w:rsidR="00373E58">
        <w:rPr>
          <w:rFonts w:ascii="Times New Roman" w:hAnsi="Times New Roman"/>
        </w:rPr>
        <w:t xml:space="preserve"> rate</w:t>
      </w:r>
      <w:r w:rsidRPr="009E4A9D">
        <w:rPr>
          <w:rFonts w:ascii="Times New Roman" w:hAnsi="Times New Roman"/>
        </w:rPr>
        <w:t xml:space="preserve"> plus the risk free rate </w:t>
      </w:r>
      <w:r w:rsidR="00373E58">
        <w:rPr>
          <w:rFonts w:ascii="Times New Roman" w:hAnsi="Times New Roman"/>
        </w:rPr>
        <w:t xml:space="preserve">constitutes </w:t>
      </w:r>
      <w:r w:rsidRPr="009E4A9D">
        <w:rPr>
          <w:rFonts w:ascii="Times New Roman" w:hAnsi="Times New Roman"/>
        </w:rPr>
        <w:t>the stock</w:t>
      </w:r>
      <w:r w:rsidR="00373E58">
        <w:rPr>
          <w:rFonts w:ascii="Times New Roman" w:hAnsi="Times New Roman"/>
        </w:rPr>
        <w:t>’s proper</w:t>
      </w:r>
      <w:r w:rsidRPr="009E4A9D">
        <w:rPr>
          <w:rFonts w:ascii="Times New Roman" w:hAnsi="Times New Roman"/>
        </w:rPr>
        <w:t xml:space="preserve"> ROE. (</w:t>
      </w:r>
      <w:r w:rsidRPr="00F21C61">
        <w:rPr>
          <w:rFonts w:ascii="Times New Roman" w:hAnsi="Times New Roman"/>
          <w:i/>
        </w:rPr>
        <w:t>Ameron</w:t>
      </w:r>
      <w:r w:rsidR="00F21C61">
        <w:rPr>
          <w:rFonts w:ascii="Times New Roman" w:hAnsi="Times New Roman"/>
        </w:rPr>
        <w:t>, supra.,</w:t>
      </w:r>
      <w:r w:rsidRPr="009E4A9D">
        <w:rPr>
          <w:rFonts w:ascii="Times New Roman" w:hAnsi="Times New Roman"/>
        </w:rPr>
        <w:t xml:space="preserve"> 17</w:t>
      </w:r>
      <w:r w:rsidR="00F21C61">
        <w:rPr>
          <w:rFonts w:ascii="Times New Roman" w:hAnsi="Times New Roman"/>
        </w:rPr>
        <w:t>;</w:t>
      </w:r>
      <w:r w:rsidR="00E22FD1">
        <w:rPr>
          <w:rFonts w:ascii="Times New Roman" w:hAnsi="Times New Roman"/>
        </w:rPr>
        <w:t xml:space="preserve"> </w:t>
      </w:r>
      <w:r w:rsidRPr="009E4A9D">
        <w:rPr>
          <w:rFonts w:ascii="Times New Roman" w:hAnsi="Times New Roman"/>
        </w:rPr>
        <w:t>G</w:t>
      </w:r>
      <w:r w:rsidR="00E22FD1">
        <w:rPr>
          <w:rFonts w:ascii="Times New Roman" w:hAnsi="Times New Roman"/>
        </w:rPr>
        <w:t xml:space="preserve">orman Direct, </w:t>
      </w:r>
      <w:r w:rsidRPr="009E4A9D">
        <w:rPr>
          <w:rFonts w:ascii="Times New Roman" w:hAnsi="Times New Roman"/>
        </w:rPr>
        <w:t xml:space="preserve">33 -34)  Thus, the CAPM formula is: </w:t>
      </w:r>
    </w:p>
    <w:p w:rsidR="0011411E" w:rsidRPr="00373E58" w:rsidRDefault="004C35F2" w:rsidP="00854838">
      <w:pPr>
        <w:tabs>
          <w:tab w:val="left" w:pos="3870"/>
        </w:tabs>
        <w:spacing w:line="480" w:lineRule="auto"/>
        <w:rPr>
          <w:rFonts w:ascii="Times New Roman" w:hAnsi="Times New Roman"/>
          <w:i/>
        </w:rPr>
      </w:pPr>
      <w:r>
        <w:rPr>
          <w:rFonts w:ascii="Times New Roman" w:hAnsi="Times New Roman"/>
        </w:rPr>
        <w:t xml:space="preserve">   </w:t>
      </w:r>
      <w:r w:rsidR="000C4888" w:rsidRPr="009E4A9D">
        <w:rPr>
          <w:rFonts w:ascii="Times New Roman" w:hAnsi="Times New Roman"/>
        </w:rPr>
        <w:t xml:space="preserve">ROE =  </w:t>
      </w:r>
      <w:r w:rsidR="000C4888" w:rsidRPr="009E4A9D">
        <w:rPr>
          <w:rFonts w:ascii="Times New Roman" w:hAnsi="Times New Roman"/>
          <w:i/>
        </w:rPr>
        <w:t xml:space="preserve">(stock’s specific risk factor (beta)  x  market portfolio risk premium)  + risk free rate  </w:t>
      </w:r>
    </w:p>
    <w:p w:rsidR="000C4888" w:rsidRPr="009E4A9D" w:rsidRDefault="000C4888" w:rsidP="00854838">
      <w:pPr>
        <w:tabs>
          <w:tab w:val="left" w:pos="3870"/>
        </w:tabs>
        <w:spacing w:line="480" w:lineRule="auto"/>
        <w:rPr>
          <w:rFonts w:ascii="Times New Roman" w:hAnsi="Times New Roman"/>
        </w:rPr>
      </w:pPr>
    </w:p>
    <w:p w:rsidR="000C4888" w:rsidRPr="00846FDD" w:rsidRDefault="00846FDD" w:rsidP="00B534D2">
      <w:pPr>
        <w:tabs>
          <w:tab w:val="left" w:pos="3870"/>
        </w:tabs>
        <w:spacing w:line="480" w:lineRule="auto"/>
        <w:rPr>
          <w:rFonts w:ascii="Times New Roman" w:hAnsi="Times New Roman"/>
          <w:b/>
        </w:rPr>
      </w:pPr>
      <w:r>
        <w:rPr>
          <w:rFonts w:ascii="Times New Roman" w:hAnsi="Times New Roman"/>
          <w:b/>
        </w:rPr>
        <w:t xml:space="preserve">b. </w:t>
      </w:r>
      <w:r w:rsidR="00AF43AE">
        <w:rPr>
          <w:rFonts w:ascii="Times New Roman" w:hAnsi="Times New Roman"/>
          <w:b/>
        </w:rPr>
        <w:t xml:space="preserve"> </w:t>
      </w:r>
      <w:r w:rsidR="000C4888" w:rsidRPr="00846FDD">
        <w:rPr>
          <w:rFonts w:ascii="Times New Roman" w:hAnsi="Times New Roman"/>
          <w:b/>
        </w:rPr>
        <w:t>Mr. Gorman’s CAPM Analysis</w:t>
      </w:r>
    </w:p>
    <w:p w:rsidR="00B534D2" w:rsidRDefault="000C4888" w:rsidP="00854838">
      <w:pPr>
        <w:tabs>
          <w:tab w:val="left" w:pos="3870"/>
        </w:tabs>
        <w:spacing w:line="480" w:lineRule="auto"/>
        <w:rPr>
          <w:rFonts w:ascii="Times New Roman" w:hAnsi="Times New Roman"/>
        </w:rPr>
      </w:pPr>
      <w:r w:rsidRPr="009E4A9D">
        <w:rPr>
          <w:rFonts w:ascii="Times New Roman" w:hAnsi="Times New Roman"/>
        </w:rPr>
        <w:t xml:space="preserve">In his CAPM analysis, Mr. Gorman adopted a beta factor of .70, his proxy group average </w:t>
      </w:r>
      <w:r w:rsidRPr="009E4A9D">
        <w:rPr>
          <w:rFonts w:ascii="Times New Roman" w:hAnsi="Times New Roman"/>
          <w:i/>
        </w:rPr>
        <w:t>Value line</w:t>
      </w:r>
      <w:r w:rsidRPr="009E4A9D">
        <w:rPr>
          <w:rFonts w:ascii="Times New Roman" w:hAnsi="Times New Roman"/>
        </w:rPr>
        <w:t xml:space="preserve"> beta, as the stock’s specific risk factor. (G</w:t>
      </w:r>
      <w:r w:rsidR="00E22FD1">
        <w:rPr>
          <w:rFonts w:ascii="Times New Roman" w:hAnsi="Times New Roman"/>
        </w:rPr>
        <w:t xml:space="preserve">orman </w:t>
      </w:r>
      <w:r w:rsidRPr="009E4A9D">
        <w:rPr>
          <w:rFonts w:ascii="Times New Roman" w:hAnsi="Times New Roman"/>
        </w:rPr>
        <w:t>D</w:t>
      </w:r>
      <w:r w:rsidR="00E22FD1">
        <w:rPr>
          <w:rFonts w:ascii="Times New Roman" w:hAnsi="Times New Roman"/>
        </w:rPr>
        <w:t>irect,</w:t>
      </w:r>
      <w:r w:rsidRPr="009E4A9D">
        <w:rPr>
          <w:rFonts w:ascii="Times New Roman" w:hAnsi="Times New Roman"/>
        </w:rPr>
        <w:t xml:space="preserve"> 34</w:t>
      </w:r>
      <w:r w:rsidR="00E22FD1">
        <w:rPr>
          <w:rFonts w:ascii="Times New Roman" w:hAnsi="Times New Roman"/>
        </w:rPr>
        <w:t>;</w:t>
      </w:r>
      <w:r w:rsidRPr="009E4A9D">
        <w:rPr>
          <w:rFonts w:ascii="Times New Roman" w:hAnsi="Times New Roman"/>
        </w:rPr>
        <w:t xml:space="preserve"> Gorman Sch. MPG-15)  He then developed two types of market risk premiums, one forward-looking</w:t>
      </w:r>
      <w:r w:rsidR="00E22FD1">
        <w:rPr>
          <w:rFonts w:ascii="Times New Roman" w:hAnsi="Times New Roman"/>
        </w:rPr>
        <w:t>,</w:t>
      </w:r>
      <w:r w:rsidRPr="009E4A9D">
        <w:rPr>
          <w:rFonts w:ascii="Times New Roman" w:hAnsi="Times New Roman"/>
        </w:rPr>
        <w:t xml:space="preserve"> one historical.  He estimated the forward-looking rate by estimating the expected return on the market as represented by the S&amp;P 500 and then subtracting the risk-free rate from that estimate.  He estimated the historical rate by adding an expected inflation rate to a long term historical arithmetic average of “real” market return, that is, achieved return above the rate of inflation. (G</w:t>
      </w:r>
      <w:r w:rsidR="00E22FD1">
        <w:rPr>
          <w:rFonts w:ascii="Times New Roman" w:hAnsi="Times New Roman"/>
        </w:rPr>
        <w:t>orman Direct,</w:t>
      </w:r>
      <w:r w:rsidRPr="009E4A9D">
        <w:rPr>
          <w:rFonts w:ascii="Times New Roman" w:hAnsi="Times New Roman"/>
        </w:rPr>
        <w:t xml:space="preserve"> 34-37)  This produced an average market return of 8.6%. (G</w:t>
      </w:r>
      <w:r w:rsidR="00E22FD1">
        <w:rPr>
          <w:rFonts w:ascii="Times New Roman" w:hAnsi="Times New Roman"/>
        </w:rPr>
        <w:t>orman Direct,</w:t>
      </w:r>
      <w:r w:rsidRPr="009E4A9D">
        <w:rPr>
          <w:rFonts w:ascii="Times New Roman" w:hAnsi="Times New Roman"/>
        </w:rPr>
        <w:t xml:space="preserve"> 34-35)  </w:t>
      </w:r>
    </w:p>
    <w:p w:rsidR="004C35F2" w:rsidRDefault="00AF43AE" w:rsidP="00AF43AE">
      <w:pPr>
        <w:tabs>
          <w:tab w:val="left" w:pos="3870"/>
        </w:tabs>
        <w:spacing w:line="480" w:lineRule="auto"/>
        <w:rPr>
          <w:rFonts w:ascii="Times New Roman" w:hAnsi="Times New Roman"/>
        </w:rPr>
      </w:pPr>
      <w:r>
        <w:rPr>
          <w:rFonts w:ascii="Times New Roman" w:hAnsi="Times New Roman"/>
        </w:rPr>
        <w:t xml:space="preserve">     </w:t>
      </w:r>
    </w:p>
    <w:p w:rsidR="00E22FD1" w:rsidRDefault="000C4888" w:rsidP="00AF43AE">
      <w:pPr>
        <w:tabs>
          <w:tab w:val="left" w:pos="3870"/>
        </w:tabs>
        <w:spacing w:line="480" w:lineRule="auto"/>
        <w:rPr>
          <w:rFonts w:ascii="Times New Roman" w:hAnsi="Times New Roman"/>
        </w:rPr>
      </w:pPr>
      <w:r w:rsidRPr="009E4A9D">
        <w:rPr>
          <w:rFonts w:ascii="Times New Roman" w:hAnsi="Times New Roman"/>
        </w:rPr>
        <w:t>Mr. Gorman then added to this a current consensus analysts’ inflation projection, as measured by the Consum</w:t>
      </w:r>
      <w:r w:rsidR="00846FDD">
        <w:rPr>
          <w:rFonts w:ascii="Times New Roman" w:hAnsi="Times New Roman"/>
        </w:rPr>
        <w:t>e</w:t>
      </w:r>
      <w:r w:rsidRPr="009E4A9D">
        <w:rPr>
          <w:rFonts w:ascii="Times New Roman" w:hAnsi="Times New Roman"/>
        </w:rPr>
        <w:t xml:space="preserve">r Price Index, of 2.0%.  This produced an expected market return of 10.77%.  </w:t>
      </w:r>
    </w:p>
    <w:p w:rsidR="00B534D2" w:rsidRDefault="000C4888" w:rsidP="00AF43AE">
      <w:pPr>
        <w:tabs>
          <w:tab w:val="left" w:pos="3870"/>
        </w:tabs>
        <w:spacing w:line="480" w:lineRule="auto"/>
        <w:rPr>
          <w:rFonts w:ascii="Times New Roman" w:hAnsi="Times New Roman"/>
        </w:rPr>
      </w:pPr>
      <w:r w:rsidRPr="009E4A9D">
        <w:rPr>
          <w:rFonts w:ascii="Times New Roman" w:hAnsi="Times New Roman"/>
        </w:rPr>
        <w:t>(G</w:t>
      </w:r>
      <w:r w:rsidR="00E22FD1">
        <w:rPr>
          <w:rFonts w:ascii="Times New Roman" w:hAnsi="Times New Roman"/>
        </w:rPr>
        <w:t>orman Direct,</w:t>
      </w:r>
      <w:r w:rsidRPr="009E4A9D">
        <w:rPr>
          <w:rFonts w:ascii="Times New Roman" w:hAnsi="Times New Roman"/>
        </w:rPr>
        <w:t xml:space="preserve"> 35, n. 18)   Next, he subtracted a risk free rate of 4.7%, </w:t>
      </w:r>
      <w:r w:rsidR="00B534D2">
        <w:rPr>
          <w:rFonts w:ascii="Times New Roman" w:hAnsi="Times New Roman"/>
        </w:rPr>
        <w:t>the</w:t>
      </w:r>
      <w:r w:rsidRPr="009E4A9D">
        <w:rPr>
          <w:rFonts w:ascii="Times New Roman" w:hAnsi="Times New Roman"/>
        </w:rPr>
        <w:t xml:space="preserve"> </w:t>
      </w:r>
      <w:r w:rsidRPr="009E4A9D">
        <w:rPr>
          <w:rFonts w:ascii="Times New Roman" w:hAnsi="Times New Roman"/>
          <w:i/>
        </w:rPr>
        <w:t xml:space="preserve">Blue Chip Financial Forecasts’ </w:t>
      </w:r>
      <w:r w:rsidRPr="009E4A9D">
        <w:rPr>
          <w:rFonts w:ascii="Times New Roman" w:hAnsi="Times New Roman"/>
        </w:rPr>
        <w:t xml:space="preserve">projected thirty year Treasury bond yield.  He explained that this is </w:t>
      </w:r>
      <w:r w:rsidR="00B534D2">
        <w:rPr>
          <w:rFonts w:ascii="Times New Roman" w:hAnsi="Times New Roman"/>
        </w:rPr>
        <w:t>a</w:t>
      </w:r>
      <w:r w:rsidRPr="009E4A9D">
        <w:rPr>
          <w:rFonts w:ascii="Times New Roman" w:hAnsi="Times New Roman"/>
        </w:rPr>
        <w:t xml:space="preserve"> properly-adopted figure for </w:t>
      </w:r>
      <w:r w:rsidR="00B534D2">
        <w:rPr>
          <w:rFonts w:ascii="Times New Roman" w:hAnsi="Times New Roman"/>
        </w:rPr>
        <w:t xml:space="preserve">the </w:t>
      </w:r>
      <w:r w:rsidRPr="009E4A9D">
        <w:rPr>
          <w:rFonts w:ascii="Times New Roman" w:hAnsi="Times New Roman"/>
        </w:rPr>
        <w:t xml:space="preserve">risk free rate because long-term Treasury bonds have an investment horizon similar to that of common stock and, as a result, investor-anticipated long-run inflation expectations are reflected in the required returns for both common stock and long term bonds.  Subtracting </w:t>
      </w:r>
      <w:r w:rsidR="00B534D2">
        <w:rPr>
          <w:rFonts w:ascii="Times New Roman" w:hAnsi="Times New Roman"/>
        </w:rPr>
        <w:t>this</w:t>
      </w:r>
      <w:r w:rsidRPr="009E4A9D">
        <w:rPr>
          <w:rFonts w:ascii="Times New Roman" w:hAnsi="Times New Roman"/>
        </w:rPr>
        <w:t xml:space="preserve"> risk free rate of 4.7% from </w:t>
      </w:r>
      <w:r w:rsidR="00B534D2">
        <w:rPr>
          <w:rFonts w:ascii="Times New Roman" w:hAnsi="Times New Roman"/>
        </w:rPr>
        <w:t>the</w:t>
      </w:r>
      <w:r w:rsidRPr="009E4A9D">
        <w:rPr>
          <w:rFonts w:ascii="Times New Roman" w:hAnsi="Times New Roman"/>
        </w:rPr>
        <w:t xml:space="preserve"> 10.77% expected market return produced a market premium for KCPL shares </w:t>
      </w:r>
      <w:r w:rsidR="008652B0" w:rsidRPr="009E4A9D">
        <w:rPr>
          <w:rFonts w:ascii="Times New Roman" w:hAnsi="Times New Roman"/>
        </w:rPr>
        <w:t xml:space="preserve">of </w:t>
      </w:r>
      <w:r w:rsidR="008652B0">
        <w:rPr>
          <w:rFonts w:ascii="Times New Roman" w:hAnsi="Times New Roman"/>
        </w:rPr>
        <w:t>6.7</w:t>
      </w:r>
      <w:r w:rsidRPr="009E4A9D">
        <w:rPr>
          <w:rFonts w:ascii="Times New Roman" w:hAnsi="Times New Roman"/>
        </w:rPr>
        <w:t>%. (G</w:t>
      </w:r>
      <w:r w:rsidR="00E22FD1">
        <w:rPr>
          <w:rFonts w:ascii="Times New Roman" w:hAnsi="Times New Roman"/>
        </w:rPr>
        <w:t>orman Direct, 33-35</w:t>
      </w:r>
      <w:r w:rsidRPr="009E4A9D">
        <w:rPr>
          <w:rFonts w:ascii="Times New Roman" w:hAnsi="Times New Roman"/>
        </w:rPr>
        <w:t>)</w:t>
      </w:r>
    </w:p>
    <w:p w:rsidR="004C35F2" w:rsidRDefault="00AF43AE" w:rsidP="00AF43AE">
      <w:pPr>
        <w:tabs>
          <w:tab w:val="left" w:pos="3870"/>
        </w:tabs>
        <w:spacing w:line="480" w:lineRule="auto"/>
        <w:rPr>
          <w:rFonts w:ascii="Times New Roman" w:hAnsi="Times New Roman"/>
        </w:rPr>
      </w:pPr>
      <w:r>
        <w:rPr>
          <w:rFonts w:ascii="Times New Roman" w:hAnsi="Times New Roman"/>
        </w:rPr>
        <w:t xml:space="preserve">     </w:t>
      </w:r>
    </w:p>
    <w:p w:rsidR="0011411E" w:rsidRPr="009E4A9D" w:rsidRDefault="000C4888" w:rsidP="00AF43AE">
      <w:pPr>
        <w:tabs>
          <w:tab w:val="left" w:pos="3870"/>
        </w:tabs>
        <w:spacing w:line="480" w:lineRule="auto"/>
        <w:rPr>
          <w:rFonts w:ascii="Times New Roman" w:hAnsi="Times New Roman"/>
        </w:rPr>
      </w:pPr>
      <w:r w:rsidRPr="009E4A9D">
        <w:rPr>
          <w:rFonts w:ascii="Times New Roman" w:hAnsi="Times New Roman"/>
        </w:rPr>
        <w:t xml:space="preserve">Mr. Gorman also referenced an historical estimate of market risk premium which was published by Morningstar in </w:t>
      </w:r>
      <w:r w:rsidRPr="009E4A9D">
        <w:rPr>
          <w:rFonts w:ascii="Times New Roman" w:hAnsi="Times New Roman"/>
          <w:i/>
        </w:rPr>
        <w:t>Stocks, Bonds, Bills and Inflation 2010 Yearbook</w:t>
      </w:r>
      <w:r w:rsidRPr="009E4A9D">
        <w:rPr>
          <w:rFonts w:ascii="Times New Roman" w:hAnsi="Times New Roman"/>
        </w:rPr>
        <w:t xml:space="preserve">. </w:t>
      </w:r>
      <w:r w:rsidR="00B534D2">
        <w:rPr>
          <w:rFonts w:ascii="Times New Roman" w:hAnsi="Times New Roman"/>
        </w:rPr>
        <w:t xml:space="preserve"> </w:t>
      </w:r>
      <w:r w:rsidRPr="009E4A9D">
        <w:rPr>
          <w:rFonts w:ascii="Times New Roman" w:hAnsi="Times New Roman"/>
        </w:rPr>
        <w:t>This study estimated that the arithmetic average of achieved total return was 11.80%, and that return on long</w:t>
      </w:r>
      <w:r w:rsidR="00B534D2">
        <w:rPr>
          <w:rFonts w:ascii="Times New Roman" w:hAnsi="Times New Roman"/>
        </w:rPr>
        <w:t>-</w:t>
      </w:r>
      <w:r w:rsidRPr="009E4A9D">
        <w:rPr>
          <w:rFonts w:ascii="Times New Roman" w:hAnsi="Times New Roman"/>
        </w:rPr>
        <w:t>term Treasury bonds was 5.80%.  From this, Mr. Gorman calculated an equity risk premium of 11.80%, minus 5.80%, or 6.00%. (G</w:t>
      </w:r>
      <w:r w:rsidR="00E22FD1">
        <w:rPr>
          <w:rFonts w:ascii="Times New Roman" w:hAnsi="Times New Roman"/>
        </w:rPr>
        <w:t>orman Direct,</w:t>
      </w:r>
      <w:r w:rsidRPr="009E4A9D">
        <w:rPr>
          <w:rFonts w:ascii="Times New Roman" w:hAnsi="Times New Roman"/>
        </w:rPr>
        <w:t xml:space="preserve"> 35)  Mr. Gorman demonstrated the reasonableness of his calculated market risk premiums by </w:t>
      </w:r>
      <w:r w:rsidR="00B534D2">
        <w:rPr>
          <w:rFonts w:ascii="Times New Roman" w:hAnsi="Times New Roman"/>
        </w:rPr>
        <w:t xml:space="preserve">pointing out </w:t>
      </w:r>
      <w:r w:rsidRPr="009E4A9D">
        <w:rPr>
          <w:rFonts w:ascii="Times New Roman" w:hAnsi="Times New Roman"/>
        </w:rPr>
        <w:t>that Morningstar’s analyses indicate that market risk premium falls somewhere between 5.2% and 6.7%.  (G</w:t>
      </w:r>
      <w:r w:rsidR="00E22FD1">
        <w:rPr>
          <w:rFonts w:ascii="Times New Roman" w:hAnsi="Times New Roman"/>
        </w:rPr>
        <w:t>orman Direct,</w:t>
      </w:r>
      <w:r w:rsidRPr="009E4A9D">
        <w:rPr>
          <w:rFonts w:ascii="Times New Roman" w:hAnsi="Times New Roman"/>
        </w:rPr>
        <w:t xml:space="preserve"> 36-37)  </w:t>
      </w:r>
    </w:p>
    <w:p w:rsidR="000C4888" w:rsidRPr="009E4A9D" w:rsidRDefault="000C4888" w:rsidP="00855073">
      <w:pPr>
        <w:tabs>
          <w:tab w:val="left" w:pos="3870"/>
        </w:tabs>
        <w:spacing w:line="480" w:lineRule="auto"/>
        <w:rPr>
          <w:rFonts w:ascii="Times New Roman" w:hAnsi="Times New Roman"/>
        </w:rPr>
      </w:pPr>
      <w:r w:rsidRPr="009E4A9D">
        <w:rPr>
          <w:rFonts w:ascii="Times New Roman" w:hAnsi="Times New Roman"/>
        </w:rPr>
        <w:t>To complete his CAPM analysis, Mr. Gorman took a low</w:t>
      </w:r>
      <w:r w:rsidR="0093767F">
        <w:rPr>
          <w:rFonts w:ascii="Times New Roman" w:hAnsi="Times New Roman"/>
        </w:rPr>
        <w:t>-</w:t>
      </w:r>
      <w:r w:rsidRPr="009E4A9D">
        <w:rPr>
          <w:rFonts w:ascii="Times New Roman" w:hAnsi="Times New Roman"/>
        </w:rPr>
        <w:t>end market risk premium of 5.2%, a high</w:t>
      </w:r>
      <w:r w:rsidR="0093767F">
        <w:rPr>
          <w:rFonts w:ascii="Times New Roman" w:hAnsi="Times New Roman"/>
        </w:rPr>
        <w:t>-</w:t>
      </w:r>
      <w:r w:rsidRPr="009E4A9D">
        <w:rPr>
          <w:rFonts w:ascii="Times New Roman" w:hAnsi="Times New Roman"/>
        </w:rPr>
        <w:t xml:space="preserve">end market risk premium of 6.7%, and multiplied each by his .70 beta.  This produced results of </w:t>
      </w:r>
      <w:r w:rsidR="00855073">
        <w:rPr>
          <w:rFonts w:ascii="Times New Roman" w:hAnsi="Times New Roman"/>
        </w:rPr>
        <w:t>3.64</w:t>
      </w:r>
      <w:r w:rsidRPr="009E4A9D">
        <w:rPr>
          <w:rFonts w:ascii="Times New Roman" w:hAnsi="Times New Roman"/>
        </w:rPr>
        <w:t xml:space="preserve">% to </w:t>
      </w:r>
      <w:r w:rsidR="00855073">
        <w:rPr>
          <w:rFonts w:ascii="Times New Roman" w:hAnsi="Times New Roman"/>
        </w:rPr>
        <w:t>4</w:t>
      </w:r>
      <w:r w:rsidRPr="009E4A9D">
        <w:rPr>
          <w:rFonts w:ascii="Times New Roman" w:hAnsi="Times New Roman"/>
        </w:rPr>
        <w:t>.</w:t>
      </w:r>
      <w:r w:rsidR="00855073">
        <w:rPr>
          <w:rFonts w:ascii="Times New Roman" w:hAnsi="Times New Roman"/>
        </w:rPr>
        <w:t>9</w:t>
      </w:r>
      <w:r w:rsidRPr="009E4A9D">
        <w:rPr>
          <w:rFonts w:ascii="Times New Roman" w:hAnsi="Times New Roman"/>
        </w:rPr>
        <w:t>%</w:t>
      </w:r>
      <w:r w:rsidR="00855073">
        <w:rPr>
          <w:rFonts w:ascii="Times New Roman" w:hAnsi="Times New Roman"/>
        </w:rPr>
        <w:t>.  When Mr. Gorman added each of these each of these</w:t>
      </w:r>
      <w:r w:rsidRPr="009E4A9D">
        <w:rPr>
          <w:rFonts w:ascii="Times New Roman" w:hAnsi="Times New Roman"/>
        </w:rPr>
        <w:t xml:space="preserve"> which, when added to his 4.7% risk free rate, produced a range of 8.33% </w:t>
      </w:r>
      <w:r w:rsidR="00855073">
        <w:rPr>
          <w:rFonts w:ascii="Times New Roman" w:hAnsi="Times New Roman"/>
        </w:rPr>
        <w:t>to</w:t>
      </w:r>
      <w:r w:rsidRPr="009E4A9D">
        <w:rPr>
          <w:rFonts w:ascii="Times New Roman" w:hAnsi="Times New Roman"/>
        </w:rPr>
        <w:t xml:space="preserve"> 9</w:t>
      </w:r>
      <w:r w:rsidR="00855073">
        <w:rPr>
          <w:rFonts w:ascii="Times New Roman" w:hAnsi="Times New Roman"/>
        </w:rPr>
        <w:t>.</w:t>
      </w:r>
      <w:r w:rsidRPr="009E4A9D">
        <w:rPr>
          <w:rFonts w:ascii="Times New Roman" w:hAnsi="Times New Roman"/>
        </w:rPr>
        <w:t>38%</w:t>
      </w:r>
      <w:r w:rsidR="00CA5230">
        <w:rPr>
          <w:rFonts w:ascii="Times New Roman" w:hAnsi="Times New Roman"/>
        </w:rPr>
        <w:t>.</w:t>
      </w:r>
      <w:r w:rsidRPr="009E4A9D">
        <w:rPr>
          <w:rFonts w:ascii="Times New Roman" w:hAnsi="Times New Roman"/>
        </w:rPr>
        <w:t xml:space="preserve"> </w:t>
      </w:r>
      <w:r w:rsidR="0011411E" w:rsidRPr="009E4A9D">
        <w:rPr>
          <w:rFonts w:ascii="Times New Roman" w:hAnsi="Times New Roman"/>
        </w:rPr>
        <w:t xml:space="preserve"> </w:t>
      </w:r>
      <w:r w:rsidRPr="009E4A9D">
        <w:rPr>
          <w:rFonts w:ascii="Times New Roman" w:hAnsi="Times New Roman"/>
        </w:rPr>
        <w:t xml:space="preserve">Mr. Gorman adopted the high-end calculation of 9.38%, </w:t>
      </w:r>
      <w:r w:rsidR="00855073">
        <w:rPr>
          <w:rFonts w:ascii="Times New Roman" w:hAnsi="Times New Roman"/>
        </w:rPr>
        <w:t xml:space="preserve">which he </w:t>
      </w:r>
      <w:r w:rsidRPr="009E4A9D">
        <w:rPr>
          <w:rFonts w:ascii="Times New Roman" w:hAnsi="Times New Roman"/>
        </w:rPr>
        <w:t>rounded to 9.4%</w:t>
      </w:r>
      <w:r w:rsidR="00855073">
        <w:rPr>
          <w:rFonts w:ascii="Times New Roman" w:hAnsi="Times New Roman"/>
        </w:rPr>
        <w:t>, as his risk premium-based ROE recommendation</w:t>
      </w:r>
      <w:r w:rsidRPr="009E4A9D">
        <w:rPr>
          <w:rFonts w:ascii="Times New Roman" w:hAnsi="Times New Roman"/>
        </w:rPr>
        <w:t>. (G</w:t>
      </w:r>
      <w:r w:rsidR="00E22FD1">
        <w:rPr>
          <w:rFonts w:ascii="Times New Roman" w:hAnsi="Times New Roman"/>
        </w:rPr>
        <w:t xml:space="preserve">orman Direct, </w:t>
      </w:r>
      <w:r w:rsidRPr="009E4A9D">
        <w:rPr>
          <w:rFonts w:ascii="Times New Roman" w:hAnsi="Times New Roman"/>
        </w:rPr>
        <w:t xml:space="preserve">37)  </w:t>
      </w:r>
    </w:p>
    <w:p w:rsidR="0011411E" w:rsidRPr="009E4A9D" w:rsidRDefault="0011411E" w:rsidP="00855073">
      <w:pPr>
        <w:tabs>
          <w:tab w:val="left" w:pos="3870"/>
        </w:tabs>
        <w:spacing w:line="480" w:lineRule="auto"/>
        <w:rPr>
          <w:rFonts w:ascii="Times New Roman" w:hAnsi="Times New Roman"/>
          <w:u w:val="single"/>
        </w:rPr>
      </w:pPr>
    </w:p>
    <w:p w:rsidR="000C4888" w:rsidRPr="00846FDD" w:rsidRDefault="00AF43AE" w:rsidP="00855073">
      <w:pPr>
        <w:tabs>
          <w:tab w:val="left" w:pos="3870"/>
        </w:tabs>
        <w:spacing w:line="480" w:lineRule="auto"/>
        <w:rPr>
          <w:rFonts w:ascii="Times New Roman" w:hAnsi="Times New Roman"/>
          <w:b/>
        </w:rPr>
      </w:pPr>
      <w:r>
        <w:rPr>
          <w:rFonts w:ascii="Times New Roman" w:hAnsi="Times New Roman"/>
          <w:b/>
        </w:rPr>
        <w:t>c</w:t>
      </w:r>
      <w:r w:rsidR="00846FDD">
        <w:rPr>
          <w:rFonts w:ascii="Times New Roman" w:hAnsi="Times New Roman"/>
          <w:b/>
        </w:rPr>
        <w:t xml:space="preserve">. </w:t>
      </w:r>
      <w:r>
        <w:rPr>
          <w:rFonts w:ascii="Times New Roman" w:hAnsi="Times New Roman"/>
          <w:b/>
        </w:rPr>
        <w:t xml:space="preserve"> </w:t>
      </w:r>
      <w:r w:rsidR="000C4888" w:rsidRPr="00846FDD">
        <w:rPr>
          <w:rFonts w:ascii="Times New Roman" w:hAnsi="Times New Roman"/>
          <w:b/>
        </w:rPr>
        <w:t xml:space="preserve">Dr. Hadaway’s </w:t>
      </w:r>
      <w:r w:rsidR="00846FDD" w:rsidRPr="00846FDD">
        <w:rPr>
          <w:rFonts w:ascii="Times New Roman" w:hAnsi="Times New Roman"/>
          <w:b/>
        </w:rPr>
        <w:t xml:space="preserve">Views on </w:t>
      </w:r>
      <w:r w:rsidR="000C4888" w:rsidRPr="00846FDD">
        <w:rPr>
          <w:rFonts w:ascii="Times New Roman" w:hAnsi="Times New Roman"/>
          <w:b/>
        </w:rPr>
        <w:t>CAPM</w:t>
      </w:r>
      <w:r w:rsidR="00846FDD" w:rsidRPr="00846FDD">
        <w:rPr>
          <w:rFonts w:ascii="Times New Roman" w:hAnsi="Times New Roman"/>
          <w:b/>
        </w:rPr>
        <w:t xml:space="preserve">, and His Failure to </w:t>
      </w:r>
      <w:r w:rsidR="00846FDD">
        <w:rPr>
          <w:rFonts w:ascii="Times New Roman" w:hAnsi="Times New Roman"/>
          <w:b/>
        </w:rPr>
        <w:t>Present</w:t>
      </w:r>
      <w:r w:rsidR="00846FDD" w:rsidRPr="00846FDD">
        <w:rPr>
          <w:rFonts w:ascii="Times New Roman" w:hAnsi="Times New Roman"/>
          <w:b/>
        </w:rPr>
        <w:t xml:space="preserve"> a CAPM Analysis </w:t>
      </w:r>
    </w:p>
    <w:p w:rsidR="000C4888" w:rsidRPr="009E4A9D" w:rsidRDefault="000C4888" w:rsidP="00855073">
      <w:pPr>
        <w:tabs>
          <w:tab w:val="left" w:pos="3870"/>
        </w:tabs>
        <w:spacing w:line="480" w:lineRule="auto"/>
        <w:rPr>
          <w:rFonts w:ascii="Times New Roman" w:hAnsi="Times New Roman"/>
        </w:rPr>
      </w:pPr>
      <w:r w:rsidRPr="009E4A9D">
        <w:rPr>
          <w:rFonts w:ascii="Times New Roman" w:hAnsi="Times New Roman"/>
        </w:rPr>
        <w:t xml:space="preserve">Dr. Hadaway’s conceptual view of the CAPM methodology is quite favorable.  He described the CAPM as a “more sophisticated” risk premium approach and stated that CAPM is “widely used” in “academic” cost of capital research jurisdictions.  He </w:t>
      </w:r>
      <w:r w:rsidR="00855073">
        <w:rPr>
          <w:rFonts w:ascii="Times New Roman" w:hAnsi="Times New Roman"/>
        </w:rPr>
        <w:t xml:space="preserve">neither </w:t>
      </w:r>
      <w:r w:rsidRPr="009E4A9D">
        <w:rPr>
          <w:rFonts w:ascii="Times New Roman" w:hAnsi="Times New Roman"/>
        </w:rPr>
        <w:t>question</w:t>
      </w:r>
      <w:r w:rsidR="00855073">
        <w:rPr>
          <w:rFonts w:ascii="Times New Roman" w:hAnsi="Times New Roman"/>
        </w:rPr>
        <w:t>ed</w:t>
      </w:r>
      <w:r w:rsidRPr="009E4A9D">
        <w:rPr>
          <w:rFonts w:ascii="Times New Roman" w:hAnsi="Times New Roman"/>
        </w:rPr>
        <w:t xml:space="preserve"> </w:t>
      </w:r>
      <w:r w:rsidR="00855073">
        <w:rPr>
          <w:rFonts w:ascii="Times New Roman" w:hAnsi="Times New Roman"/>
        </w:rPr>
        <w:t xml:space="preserve">CAPM’s validity nor suggested that </w:t>
      </w:r>
      <w:r w:rsidRPr="009E4A9D">
        <w:rPr>
          <w:rFonts w:ascii="Times New Roman" w:hAnsi="Times New Roman"/>
        </w:rPr>
        <w:t xml:space="preserve">this tribunal </w:t>
      </w:r>
      <w:r w:rsidR="00855073">
        <w:rPr>
          <w:rFonts w:ascii="Times New Roman" w:hAnsi="Times New Roman"/>
        </w:rPr>
        <w:t>does</w:t>
      </w:r>
      <w:r w:rsidRPr="009E4A9D">
        <w:rPr>
          <w:rFonts w:ascii="Times New Roman" w:hAnsi="Times New Roman"/>
        </w:rPr>
        <w:t xml:space="preserve"> </w:t>
      </w:r>
      <w:r w:rsidR="00855073">
        <w:rPr>
          <w:rFonts w:ascii="Times New Roman" w:hAnsi="Times New Roman"/>
        </w:rPr>
        <w:t xml:space="preserve">not </w:t>
      </w:r>
      <w:r w:rsidR="008652B0" w:rsidRPr="009E4A9D">
        <w:rPr>
          <w:rFonts w:ascii="Times New Roman" w:hAnsi="Times New Roman"/>
        </w:rPr>
        <w:t>accept</w:t>
      </w:r>
      <w:r w:rsidRPr="009E4A9D">
        <w:rPr>
          <w:rFonts w:ascii="Times New Roman" w:hAnsi="Times New Roman"/>
        </w:rPr>
        <w:t xml:space="preserve"> it.  </w:t>
      </w:r>
      <w:r w:rsidR="0011411E" w:rsidRPr="009E4A9D">
        <w:rPr>
          <w:rFonts w:ascii="Times New Roman" w:hAnsi="Times New Roman"/>
        </w:rPr>
        <w:t>W</w:t>
      </w:r>
      <w:r w:rsidRPr="009E4A9D">
        <w:rPr>
          <w:rFonts w:ascii="Times New Roman" w:hAnsi="Times New Roman"/>
        </w:rPr>
        <w:t>ith regard to CAPM</w:t>
      </w:r>
      <w:r w:rsidR="00855073">
        <w:rPr>
          <w:rFonts w:ascii="Times New Roman" w:hAnsi="Times New Roman"/>
        </w:rPr>
        <w:t>’s role</w:t>
      </w:r>
      <w:r w:rsidRPr="009E4A9D">
        <w:rPr>
          <w:rFonts w:ascii="Times New Roman" w:hAnsi="Times New Roman"/>
        </w:rPr>
        <w:t xml:space="preserve"> in calculation of ROE for regulated utilities, he said that CAPM provides a “useful parallel approach” with the DC</w:t>
      </w:r>
      <w:r w:rsidR="00855073">
        <w:rPr>
          <w:rFonts w:ascii="Times New Roman" w:hAnsi="Times New Roman"/>
        </w:rPr>
        <w:t>F</w:t>
      </w:r>
      <w:r w:rsidRPr="009E4A9D">
        <w:rPr>
          <w:rFonts w:ascii="Times New Roman" w:hAnsi="Times New Roman"/>
        </w:rPr>
        <w:t xml:space="preserve"> methodology, and that</w:t>
      </w:r>
      <w:r w:rsidR="00855073">
        <w:rPr>
          <w:rFonts w:ascii="Times New Roman" w:hAnsi="Times New Roman"/>
        </w:rPr>
        <w:t xml:space="preserve"> CAPM</w:t>
      </w:r>
      <w:r w:rsidRPr="009E4A9D">
        <w:rPr>
          <w:rFonts w:ascii="Times New Roman" w:hAnsi="Times New Roman"/>
        </w:rPr>
        <w:t xml:space="preserve"> can be used to “assure consistency” in cost of equity estimations. (H</w:t>
      </w:r>
      <w:r w:rsidR="00E22FD1">
        <w:rPr>
          <w:rFonts w:ascii="Times New Roman" w:hAnsi="Times New Roman"/>
        </w:rPr>
        <w:t>adaway Direct,</w:t>
      </w:r>
      <w:r w:rsidRPr="009E4A9D">
        <w:rPr>
          <w:rFonts w:ascii="Times New Roman" w:hAnsi="Times New Roman"/>
        </w:rPr>
        <w:t xml:space="preserve"> </w:t>
      </w:r>
      <w:r w:rsidR="00855073">
        <w:rPr>
          <w:rFonts w:ascii="Times New Roman" w:hAnsi="Times New Roman"/>
        </w:rPr>
        <w:t>14-</w:t>
      </w:r>
      <w:r w:rsidRPr="009E4A9D">
        <w:rPr>
          <w:rFonts w:ascii="Times New Roman" w:hAnsi="Times New Roman"/>
        </w:rPr>
        <w:t xml:space="preserve">15)  </w:t>
      </w:r>
    </w:p>
    <w:p w:rsidR="004C35F2" w:rsidRDefault="004C35F2" w:rsidP="00855073">
      <w:pPr>
        <w:tabs>
          <w:tab w:val="left" w:pos="3870"/>
        </w:tabs>
        <w:spacing w:line="480" w:lineRule="auto"/>
        <w:rPr>
          <w:rFonts w:ascii="Times New Roman" w:hAnsi="Times New Roman"/>
        </w:rPr>
      </w:pPr>
    </w:p>
    <w:p w:rsidR="000C4888" w:rsidRPr="009E4A9D" w:rsidRDefault="000C4888" w:rsidP="00855073">
      <w:pPr>
        <w:tabs>
          <w:tab w:val="left" w:pos="3870"/>
        </w:tabs>
        <w:spacing w:line="480" w:lineRule="auto"/>
        <w:rPr>
          <w:rFonts w:ascii="Times New Roman" w:hAnsi="Times New Roman"/>
        </w:rPr>
      </w:pPr>
      <w:r w:rsidRPr="009E4A9D">
        <w:rPr>
          <w:rFonts w:ascii="Times New Roman" w:hAnsi="Times New Roman"/>
        </w:rPr>
        <w:t xml:space="preserve">Dr. Hadaway maintained, however, that “government monetary policies and recent flight to safety issues have pushed Treasury bond interest rates to artificially low levels.”  He </w:t>
      </w:r>
      <w:r w:rsidR="00855073">
        <w:rPr>
          <w:rFonts w:ascii="Times New Roman" w:hAnsi="Times New Roman"/>
        </w:rPr>
        <w:t xml:space="preserve">asserted </w:t>
      </w:r>
      <w:r w:rsidR="008652B0">
        <w:rPr>
          <w:rFonts w:ascii="Times New Roman" w:hAnsi="Times New Roman"/>
        </w:rPr>
        <w:t xml:space="preserve">that </w:t>
      </w:r>
      <w:r w:rsidR="008652B0" w:rsidRPr="009E4A9D">
        <w:rPr>
          <w:rFonts w:ascii="Times New Roman" w:hAnsi="Times New Roman"/>
        </w:rPr>
        <w:t>this</w:t>
      </w:r>
      <w:r w:rsidRPr="009E4A9D">
        <w:rPr>
          <w:rFonts w:ascii="Times New Roman" w:hAnsi="Times New Roman"/>
        </w:rPr>
        <w:t xml:space="preserve"> has caused “CAPM estimates (to) understate the market cost of equity</w:t>
      </w:r>
      <w:r w:rsidR="00855073">
        <w:rPr>
          <w:rFonts w:ascii="Times New Roman" w:hAnsi="Times New Roman"/>
        </w:rPr>
        <w:t>,</w:t>
      </w:r>
      <w:r w:rsidRPr="009E4A9D">
        <w:rPr>
          <w:rFonts w:ascii="Times New Roman" w:hAnsi="Times New Roman"/>
        </w:rPr>
        <w:t>” (H</w:t>
      </w:r>
      <w:r w:rsidR="00E22FD1">
        <w:rPr>
          <w:rFonts w:ascii="Times New Roman" w:hAnsi="Times New Roman"/>
        </w:rPr>
        <w:t>adaway Rebuttal,</w:t>
      </w:r>
      <w:r w:rsidRPr="009E4A9D">
        <w:rPr>
          <w:rFonts w:ascii="Times New Roman" w:hAnsi="Times New Roman"/>
        </w:rPr>
        <w:t xml:space="preserve"> 23</w:t>
      </w:r>
      <w:r w:rsidR="00855073">
        <w:rPr>
          <w:rFonts w:ascii="Times New Roman" w:hAnsi="Times New Roman"/>
        </w:rPr>
        <w:t xml:space="preserve">) and that </w:t>
      </w:r>
      <w:r w:rsidRPr="009E4A9D">
        <w:rPr>
          <w:rFonts w:ascii="Times New Roman" w:hAnsi="Times New Roman"/>
        </w:rPr>
        <w:t xml:space="preserve">  </w:t>
      </w:r>
      <w:r w:rsidR="00855073">
        <w:rPr>
          <w:rFonts w:ascii="Times New Roman" w:hAnsi="Times New Roman"/>
        </w:rPr>
        <w:t xml:space="preserve">the </w:t>
      </w:r>
      <w:r w:rsidRPr="009E4A9D">
        <w:rPr>
          <w:rFonts w:ascii="Times New Roman" w:hAnsi="Times New Roman"/>
        </w:rPr>
        <w:t xml:space="preserve">CAPM </w:t>
      </w:r>
      <w:r w:rsidR="00855073">
        <w:rPr>
          <w:rFonts w:ascii="Times New Roman" w:hAnsi="Times New Roman"/>
        </w:rPr>
        <w:t xml:space="preserve">methodology </w:t>
      </w:r>
      <w:r w:rsidRPr="009E4A9D">
        <w:rPr>
          <w:rFonts w:ascii="Times New Roman" w:hAnsi="Times New Roman"/>
        </w:rPr>
        <w:t>is therefore “currently unreliable.” (H</w:t>
      </w:r>
      <w:r w:rsidR="00A131A1">
        <w:rPr>
          <w:rFonts w:ascii="Times New Roman" w:hAnsi="Times New Roman"/>
        </w:rPr>
        <w:t>adaway Rebuttal,</w:t>
      </w:r>
      <w:r w:rsidRPr="009E4A9D">
        <w:rPr>
          <w:rFonts w:ascii="Times New Roman" w:hAnsi="Times New Roman"/>
        </w:rPr>
        <w:t xml:space="preserve"> 16)  </w:t>
      </w:r>
      <w:r w:rsidR="00855073">
        <w:rPr>
          <w:rFonts w:ascii="Times New Roman" w:hAnsi="Times New Roman"/>
        </w:rPr>
        <w:t xml:space="preserve"> On this basis, D</w:t>
      </w:r>
      <w:r w:rsidRPr="009E4A9D">
        <w:rPr>
          <w:rFonts w:ascii="Times New Roman" w:hAnsi="Times New Roman"/>
        </w:rPr>
        <w:t xml:space="preserve">r. Hadaway </w:t>
      </w:r>
      <w:r w:rsidR="00B37E79">
        <w:rPr>
          <w:rFonts w:ascii="Times New Roman" w:hAnsi="Times New Roman"/>
        </w:rPr>
        <w:t>now asserts</w:t>
      </w:r>
      <w:r w:rsidR="00855073">
        <w:rPr>
          <w:rFonts w:ascii="Times New Roman" w:hAnsi="Times New Roman"/>
        </w:rPr>
        <w:t xml:space="preserve"> </w:t>
      </w:r>
      <w:r w:rsidRPr="009E4A9D">
        <w:rPr>
          <w:rFonts w:ascii="Times New Roman" w:hAnsi="Times New Roman"/>
        </w:rPr>
        <w:t>that</w:t>
      </w:r>
      <w:r w:rsidR="00BE404E">
        <w:rPr>
          <w:rFonts w:ascii="Times New Roman" w:hAnsi="Times New Roman"/>
        </w:rPr>
        <w:t xml:space="preserve"> </w:t>
      </w:r>
      <w:r w:rsidRPr="009E4A9D">
        <w:rPr>
          <w:rFonts w:ascii="Times New Roman" w:hAnsi="Times New Roman"/>
        </w:rPr>
        <w:t xml:space="preserve">this </w:t>
      </w:r>
      <w:r w:rsidR="00054D30">
        <w:rPr>
          <w:rFonts w:ascii="Times New Roman" w:hAnsi="Times New Roman"/>
        </w:rPr>
        <w:t>Commission</w:t>
      </w:r>
      <w:r w:rsidRPr="009E4A9D">
        <w:rPr>
          <w:rFonts w:ascii="Times New Roman" w:hAnsi="Times New Roman"/>
        </w:rPr>
        <w:t xml:space="preserve"> should </w:t>
      </w:r>
      <w:r w:rsidR="00BE404E">
        <w:rPr>
          <w:rFonts w:ascii="Times New Roman" w:hAnsi="Times New Roman"/>
        </w:rPr>
        <w:t xml:space="preserve">accord absolutely </w:t>
      </w:r>
      <w:r w:rsidRPr="009E4A9D">
        <w:rPr>
          <w:rFonts w:ascii="Times New Roman" w:hAnsi="Times New Roman"/>
        </w:rPr>
        <w:t xml:space="preserve">no </w:t>
      </w:r>
      <w:r w:rsidR="00BE404E">
        <w:rPr>
          <w:rFonts w:ascii="Times New Roman" w:hAnsi="Times New Roman"/>
        </w:rPr>
        <w:t xml:space="preserve">place </w:t>
      </w:r>
      <w:r w:rsidR="008652B0">
        <w:rPr>
          <w:rFonts w:ascii="Times New Roman" w:hAnsi="Times New Roman"/>
        </w:rPr>
        <w:t>for the</w:t>
      </w:r>
      <w:r w:rsidRPr="009E4A9D">
        <w:rPr>
          <w:rFonts w:ascii="Times New Roman" w:hAnsi="Times New Roman"/>
        </w:rPr>
        <w:t xml:space="preserve"> CAPM methodology in </w:t>
      </w:r>
      <w:r w:rsidR="00BE404E">
        <w:rPr>
          <w:rFonts w:ascii="Times New Roman" w:hAnsi="Times New Roman"/>
        </w:rPr>
        <w:t>its determination of</w:t>
      </w:r>
      <w:r w:rsidRPr="009E4A9D">
        <w:rPr>
          <w:rFonts w:ascii="Times New Roman" w:hAnsi="Times New Roman"/>
        </w:rPr>
        <w:t xml:space="preserve"> ROE </w:t>
      </w:r>
      <w:r w:rsidR="00BE404E">
        <w:rPr>
          <w:rFonts w:ascii="Times New Roman" w:hAnsi="Times New Roman"/>
        </w:rPr>
        <w:t xml:space="preserve">for KCPL. </w:t>
      </w:r>
      <w:r w:rsidR="00AF43AE">
        <w:rPr>
          <w:rFonts w:ascii="Times New Roman" w:hAnsi="Times New Roman"/>
        </w:rPr>
        <w:t>(Hadaway Rebuttal, 23)</w:t>
      </w:r>
      <w:r w:rsidRPr="009E4A9D">
        <w:rPr>
          <w:rFonts w:ascii="Times New Roman" w:hAnsi="Times New Roman"/>
        </w:rPr>
        <w:t xml:space="preserve">   </w:t>
      </w:r>
    </w:p>
    <w:p w:rsidR="00BE404E" w:rsidRDefault="00BE404E" w:rsidP="00855073">
      <w:pPr>
        <w:tabs>
          <w:tab w:val="left" w:pos="3870"/>
        </w:tabs>
        <w:spacing w:line="480" w:lineRule="auto"/>
        <w:rPr>
          <w:rFonts w:ascii="Times New Roman" w:hAnsi="Times New Roman"/>
        </w:rPr>
      </w:pPr>
    </w:p>
    <w:p w:rsidR="00BE404E" w:rsidRDefault="000C4888" w:rsidP="00BE404E">
      <w:pPr>
        <w:tabs>
          <w:tab w:val="left" w:pos="3870"/>
        </w:tabs>
        <w:spacing w:line="480" w:lineRule="auto"/>
        <w:rPr>
          <w:rFonts w:ascii="Times New Roman" w:hAnsi="Times New Roman"/>
        </w:rPr>
      </w:pPr>
      <w:r w:rsidRPr="009E4A9D">
        <w:rPr>
          <w:rFonts w:ascii="Times New Roman" w:hAnsi="Times New Roman"/>
        </w:rPr>
        <w:t xml:space="preserve">In line with this, Dr. Hadaway </w:t>
      </w:r>
      <w:r w:rsidR="00BE404E">
        <w:rPr>
          <w:rFonts w:ascii="Times New Roman" w:hAnsi="Times New Roman"/>
        </w:rPr>
        <w:t xml:space="preserve">further </w:t>
      </w:r>
      <w:r w:rsidRPr="009E4A9D">
        <w:rPr>
          <w:rFonts w:ascii="Times New Roman" w:hAnsi="Times New Roman"/>
        </w:rPr>
        <w:t>asserted that Mr. Gorman’s CAPM-based ROE recommendations are too low, because Mr. Gorman based his risk free rate on “the current artificially low government bond interest rate.” (</w:t>
      </w:r>
      <w:r w:rsidR="00E22FD1">
        <w:rPr>
          <w:rFonts w:ascii="Times New Roman" w:hAnsi="Times New Roman"/>
        </w:rPr>
        <w:t>Hadaway Rebuttal</w:t>
      </w:r>
      <w:r w:rsidRPr="009E4A9D">
        <w:rPr>
          <w:rFonts w:ascii="Times New Roman" w:hAnsi="Times New Roman"/>
        </w:rPr>
        <w:t xml:space="preserve">, 17,21) </w:t>
      </w:r>
      <w:r w:rsidR="00BE404E">
        <w:rPr>
          <w:rFonts w:ascii="Times New Roman" w:hAnsi="Times New Roman"/>
        </w:rPr>
        <w:t xml:space="preserve">  </w:t>
      </w:r>
      <w:r w:rsidRPr="009E4A9D">
        <w:rPr>
          <w:rFonts w:ascii="Times New Roman" w:hAnsi="Times New Roman"/>
        </w:rPr>
        <w:t xml:space="preserve">Here, </w:t>
      </w:r>
      <w:r w:rsidR="004A6CB8">
        <w:rPr>
          <w:rFonts w:ascii="Times New Roman" w:hAnsi="Times New Roman"/>
        </w:rPr>
        <w:t>D</w:t>
      </w:r>
      <w:r w:rsidRPr="009E4A9D">
        <w:rPr>
          <w:rFonts w:ascii="Times New Roman" w:hAnsi="Times New Roman"/>
        </w:rPr>
        <w:t>r. Hadaway unaccountably ignored the fact that Mr. Gorman used not a current short term rate but a 30 year rate, and that such a long term rate is far more market-driven than government-influenced. (T</w:t>
      </w:r>
      <w:r w:rsidR="00CB66B7">
        <w:rPr>
          <w:rFonts w:ascii="Times New Roman" w:hAnsi="Times New Roman"/>
        </w:rPr>
        <w:t xml:space="preserve">- </w:t>
      </w:r>
      <w:r w:rsidRPr="009E4A9D">
        <w:rPr>
          <w:rFonts w:ascii="Times New Roman" w:hAnsi="Times New Roman"/>
        </w:rPr>
        <w:t xml:space="preserve">2864-2865)  </w:t>
      </w:r>
      <w:r w:rsidR="00BE404E">
        <w:rPr>
          <w:rFonts w:ascii="Times New Roman" w:hAnsi="Times New Roman"/>
        </w:rPr>
        <w:t xml:space="preserve"> </w:t>
      </w:r>
    </w:p>
    <w:p w:rsidR="004C35F2" w:rsidRDefault="004C35F2" w:rsidP="003E2D79">
      <w:pPr>
        <w:tabs>
          <w:tab w:val="left" w:pos="3870"/>
        </w:tabs>
        <w:spacing w:line="480" w:lineRule="auto"/>
        <w:jc w:val="both"/>
        <w:rPr>
          <w:rFonts w:ascii="Times New Roman" w:hAnsi="Times New Roman"/>
        </w:rPr>
      </w:pPr>
    </w:p>
    <w:p w:rsidR="003E2D79" w:rsidRPr="009E4A9D" w:rsidRDefault="004C35F2" w:rsidP="003E2D79">
      <w:pPr>
        <w:tabs>
          <w:tab w:val="left" w:pos="3870"/>
        </w:tabs>
        <w:spacing w:line="480" w:lineRule="auto"/>
        <w:jc w:val="both"/>
        <w:rPr>
          <w:rFonts w:ascii="Times New Roman" w:hAnsi="Times New Roman"/>
        </w:rPr>
      </w:pPr>
      <w:r>
        <w:rPr>
          <w:rFonts w:ascii="Times New Roman" w:hAnsi="Times New Roman"/>
        </w:rPr>
        <w:t>D</w:t>
      </w:r>
      <w:r w:rsidR="00BE404E">
        <w:rPr>
          <w:rFonts w:ascii="Times New Roman" w:hAnsi="Times New Roman"/>
        </w:rPr>
        <w:t xml:space="preserve">espite this apparent error, the Department does not find this criticism by Dr. Hadaway of Mr. Gorman’s CAPM methodology altogether inapposite. There is, after all, </w:t>
      </w:r>
      <w:r w:rsidR="000C4888" w:rsidRPr="009E4A9D">
        <w:rPr>
          <w:rFonts w:ascii="Times New Roman" w:hAnsi="Times New Roman"/>
        </w:rPr>
        <w:t xml:space="preserve">no question that Dr. Hadaway is entitled to criticize Mr. Gorman’s or any other witness’s manner of application of the CAPM methodology.  </w:t>
      </w:r>
      <w:r w:rsidR="00BE404E">
        <w:rPr>
          <w:rFonts w:ascii="Times New Roman" w:hAnsi="Times New Roman"/>
        </w:rPr>
        <w:t xml:space="preserve">But Dr. </w:t>
      </w:r>
      <w:r w:rsidR="000C4888" w:rsidRPr="009E4A9D">
        <w:rPr>
          <w:rFonts w:ascii="Times New Roman" w:hAnsi="Times New Roman"/>
        </w:rPr>
        <w:t>Hadaway</w:t>
      </w:r>
      <w:r w:rsidR="00BE404E">
        <w:rPr>
          <w:rFonts w:ascii="Times New Roman" w:hAnsi="Times New Roman"/>
        </w:rPr>
        <w:t xml:space="preserve"> has gone</w:t>
      </w:r>
      <w:r w:rsidR="000C4888" w:rsidRPr="009E4A9D">
        <w:rPr>
          <w:rFonts w:ascii="Times New Roman" w:hAnsi="Times New Roman"/>
        </w:rPr>
        <w:t xml:space="preserve"> far beyond </w:t>
      </w:r>
      <w:r w:rsidR="00BE404E">
        <w:rPr>
          <w:rFonts w:ascii="Times New Roman" w:hAnsi="Times New Roman"/>
        </w:rPr>
        <w:t xml:space="preserve">the usual practice of </w:t>
      </w:r>
      <w:r w:rsidR="000C4888" w:rsidRPr="009E4A9D">
        <w:rPr>
          <w:rFonts w:ascii="Times New Roman" w:hAnsi="Times New Roman"/>
        </w:rPr>
        <w:t>questioning the manner in which CAPM</w:t>
      </w:r>
      <w:r w:rsidR="003E2D79">
        <w:rPr>
          <w:rFonts w:ascii="Times New Roman" w:hAnsi="Times New Roman"/>
        </w:rPr>
        <w:t>, or any methodology,</w:t>
      </w:r>
      <w:r w:rsidR="000C4888" w:rsidRPr="009E4A9D">
        <w:rPr>
          <w:rFonts w:ascii="Times New Roman" w:hAnsi="Times New Roman"/>
        </w:rPr>
        <w:t xml:space="preserve"> ought to be applied.  For, in fact Dr. Hadaway completely excluded CAPM from his ROE analysis. (</w:t>
      </w:r>
      <w:r w:rsidR="003E2D79" w:rsidRPr="009E4A9D">
        <w:rPr>
          <w:rFonts w:ascii="Times New Roman" w:hAnsi="Times New Roman"/>
        </w:rPr>
        <w:t xml:space="preserve">see, </w:t>
      </w:r>
      <w:r w:rsidR="00E22FD1">
        <w:rPr>
          <w:rFonts w:ascii="Times New Roman" w:hAnsi="Times New Roman"/>
        </w:rPr>
        <w:t>Hadaway Rebuttal,</w:t>
      </w:r>
      <w:r w:rsidR="003E2D79" w:rsidRPr="009E4A9D">
        <w:rPr>
          <w:rFonts w:ascii="Times New Roman" w:hAnsi="Times New Roman"/>
        </w:rPr>
        <w:t xml:space="preserve"> </w:t>
      </w:r>
      <w:r w:rsidR="00E22FD1">
        <w:rPr>
          <w:rFonts w:ascii="Times New Roman" w:hAnsi="Times New Roman"/>
        </w:rPr>
        <w:t xml:space="preserve">21,23, </w:t>
      </w:r>
      <w:r w:rsidR="003E2D79" w:rsidRPr="009E4A9D">
        <w:rPr>
          <w:rFonts w:ascii="Times New Roman" w:hAnsi="Times New Roman"/>
        </w:rPr>
        <w:t>44</w:t>
      </w:r>
      <w:r w:rsidR="000C4888" w:rsidRPr="009E4A9D">
        <w:rPr>
          <w:rFonts w:ascii="Times New Roman" w:hAnsi="Times New Roman"/>
        </w:rPr>
        <w:t xml:space="preserve">) </w:t>
      </w:r>
      <w:r w:rsidR="003E2D79">
        <w:rPr>
          <w:rFonts w:ascii="Times New Roman" w:hAnsi="Times New Roman"/>
        </w:rPr>
        <w:t xml:space="preserve">  And, </w:t>
      </w:r>
      <w:r w:rsidR="000C4888" w:rsidRPr="009E4A9D">
        <w:rPr>
          <w:rFonts w:ascii="Times New Roman" w:hAnsi="Times New Roman"/>
        </w:rPr>
        <w:t>even beyond that, Dr. Hadaway asserts that</w:t>
      </w:r>
      <w:r w:rsidR="003E2D79">
        <w:rPr>
          <w:rFonts w:ascii="Times New Roman" w:hAnsi="Times New Roman"/>
        </w:rPr>
        <w:t xml:space="preserve"> the </w:t>
      </w:r>
      <w:r w:rsidR="00054D30">
        <w:rPr>
          <w:rFonts w:ascii="Times New Roman" w:hAnsi="Times New Roman"/>
        </w:rPr>
        <w:t>Commission</w:t>
      </w:r>
      <w:r w:rsidR="003E2D79">
        <w:rPr>
          <w:rFonts w:ascii="Times New Roman" w:hAnsi="Times New Roman"/>
        </w:rPr>
        <w:t xml:space="preserve"> should disregard </w:t>
      </w:r>
      <w:r w:rsidR="000C4888" w:rsidRPr="009E4A9D">
        <w:rPr>
          <w:rFonts w:ascii="Times New Roman" w:hAnsi="Times New Roman"/>
        </w:rPr>
        <w:t>“</w:t>
      </w:r>
      <w:r w:rsidR="000C4888" w:rsidRPr="009E4A9D">
        <w:rPr>
          <w:rFonts w:ascii="Times New Roman" w:hAnsi="Times New Roman"/>
          <w:i/>
        </w:rPr>
        <w:t>any result</w:t>
      </w:r>
      <w:r w:rsidR="00B37E79">
        <w:rPr>
          <w:rFonts w:ascii="Times New Roman" w:hAnsi="Times New Roman"/>
          <w:i/>
        </w:rPr>
        <w:t>s</w:t>
      </w:r>
      <w:r w:rsidR="000C4888" w:rsidRPr="009E4A9D">
        <w:rPr>
          <w:rFonts w:ascii="Times New Roman" w:hAnsi="Times New Roman"/>
          <w:i/>
        </w:rPr>
        <w:t xml:space="preserve"> from a CAPM analysis.”  </w:t>
      </w:r>
      <w:r w:rsidR="008652B0">
        <w:rPr>
          <w:rFonts w:ascii="Times New Roman" w:hAnsi="Times New Roman"/>
        </w:rPr>
        <w:t>(</w:t>
      </w:r>
      <w:r w:rsidR="00B37E79">
        <w:rPr>
          <w:rFonts w:ascii="Times New Roman" w:hAnsi="Times New Roman"/>
        </w:rPr>
        <w:t>Hadaway Rebuttal, 23</w:t>
      </w:r>
      <w:r w:rsidR="008652B0">
        <w:rPr>
          <w:rFonts w:ascii="Times New Roman" w:hAnsi="Times New Roman"/>
        </w:rPr>
        <w:t>)</w:t>
      </w:r>
    </w:p>
    <w:p w:rsidR="004C35F2" w:rsidRDefault="00AF43AE" w:rsidP="002E6051">
      <w:pPr>
        <w:tabs>
          <w:tab w:val="left" w:pos="3870"/>
        </w:tabs>
        <w:spacing w:line="480" w:lineRule="auto"/>
        <w:rPr>
          <w:rFonts w:ascii="Times New Roman" w:hAnsi="Times New Roman"/>
        </w:rPr>
      </w:pPr>
      <w:r>
        <w:rPr>
          <w:rFonts w:ascii="Times New Roman" w:hAnsi="Times New Roman"/>
        </w:rPr>
        <w:t xml:space="preserve"> </w:t>
      </w:r>
    </w:p>
    <w:p w:rsidR="000C4888" w:rsidRPr="009E4A9D" w:rsidRDefault="000C4888" w:rsidP="002E6051">
      <w:pPr>
        <w:tabs>
          <w:tab w:val="left" w:pos="3870"/>
        </w:tabs>
        <w:spacing w:line="480" w:lineRule="auto"/>
        <w:rPr>
          <w:rFonts w:ascii="Times New Roman" w:hAnsi="Times New Roman"/>
        </w:rPr>
      </w:pPr>
      <w:r w:rsidRPr="009E4A9D">
        <w:rPr>
          <w:rFonts w:ascii="Times New Roman" w:hAnsi="Times New Roman"/>
        </w:rPr>
        <w:t xml:space="preserve">Here, the true source of Dr. Hadaway’s </w:t>
      </w:r>
      <w:r w:rsidR="003E2D79">
        <w:rPr>
          <w:rFonts w:ascii="Times New Roman" w:hAnsi="Times New Roman"/>
        </w:rPr>
        <w:t xml:space="preserve">purported rejection </w:t>
      </w:r>
      <w:r w:rsidR="008652B0">
        <w:rPr>
          <w:rFonts w:ascii="Times New Roman" w:hAnsi="Times New Roman"/>
        </w:rPr>
        <w:t xml:space="preserve">of </w:t>
      </w:r>
      <w:r w:rsidR="008652B0" w:rsidRPr="009E4A9D">
        <w:rPr>
          <w:rFonts w:ascii="Times New Roman" w:hAnsi="Times New Roman"/>
        </w:rPr>
        <w:t>the</w:t>
      </w:r>
      <w:r w:rsidRPr="009E4A9D">
        <w:rPr>
          <w:rFonts w:ascii="Times New Roman" w:hAnsi="Times New Roman"/>
        </w:rPr>
        <w:t xml:space="preserve"> CAPM methodology is starkly clear:  </w:t>
      </w:r>
      <w:r w:rsidR="003E2D79">
        <w:rPr>
          <w:rFonts w:ascii="Times New Roman" w:hAnsi="Times New Roman"/>
        </w:rPr>
        <w:t xml:space="preserve">The fact is that </w:t>
      </w:r>
      <w:r w:rsidRPr="009E4A9D">
        <w:rPr>
          <w:rFonts w:ascii="Times New Roman" w:hAnsi="Times New Roman"/>
        </w:rPr>
        <w:t xml:space="preserve">any analyst </w:t>
      </w:r>
      <w:r w:rsidR="003E2D79">
        <w:rPr>
          <w:rFonts w:ascii="Times New Roman" w:hAnsi="Times New Roman"/>
        </w:rPr>
        <w:t xml:space="preserve">who applies </w:t>
      </w:r>
      <w:r w:rsidRPr="009E4A9D">
        <w:rPr>
          <w:rFonts w:ascii="Times New Roman" w:hAnsi="Times New Roman"/>
        </w:rPr>
        <w:t xml:space="preserve">the CAPM </w:t>
      </w:r>
      <w:r w:rsidR="003E2D79">
        <w:rPr>
          <w:rFonts w:ascii="Times New Roman" w:hAnsi="Times New Roman"/>
        </w:rPr>
        <w:t xml:space="preserve">to KCPL in any reasonable manner will find </w:t>
      </w:r>
      <w:r w:rsidRPr="009E4A9D">
        <w:rPr>
          <w:rFonts w:ascii="Times New Roman" w:hAnsi="Times New Roman"/>
        </w:rPr>
        <w:t xml:space="preserve">CAPM produces ROEs are much lower that the Company finds acceptable.  As KCPL counsel stated directly and on the record, Dr. Hadaway did not present a CAPM </w:t>
      </w:r>
      <w:r w:rsidR="003E2D79">
        <w:rPr>
          <w:rFonts w:ascii="Times New Roman" w:hAnsi="Times New Roman"/>
        </w:rPr>
        <w:t xml:space="preserve">simply </w:t>
      </w:r>
      <w:r w:rsidRPr="009E4A9D">
        <w:rPr>
          <w:rFonts w:ascii="Times New Roman" w:hAnsi="Times New Roman"/>
        </w:rPr>
        <w:t xml:space="preserve">because “…he took a look at it and found that the rates </w:t>
      </w:r>
      <w:r w:rsidR="003E2D79">
        <w:rPr>
          <w:rFonts w:ascii="Times New Roman" w:hAnsi="Times New Roman"/>
        </w:rPr>
        <w:t xml:space="preserve">(of return on equity) </w:t>
      </w:r>
      <w:r w:rsidRPr="009E4A9D">
        <w:rPr>
          <w:rFonts w:ascii="Times New Roman" w:hAnsi="Times New Roman"/>
        </w:rPr>
        <w:t>were too low and he rejected it.” (T-2452)</w:t>
      </w:r>
      <w:r w:rsidR="002E6051">
        <w:rPr>
          <w:rFonts w:ascii="Times New Roman" w:hAnsi="Times New Roman"/>
        </w:rPr>
        <w:t xml:space="preserve">   And, i</w:t>
      </w:r>
      <w:r w:rsidRPr="009E4A9D">
        <w:rPr>
          <w:rFonts w:ascii="Times New Roman" w:hAnsi="Times New Roman"/>
        </w:rPr>
        <w:t xml:space="preserve">ndeed, Dr. Hadaway would have the </w:t>
      </w:r>
      <w:r w:rsidR="00054D30">
        <w:rPr>
          <w:rFonts w:ascii="Times New Roman" w:hAnsi="Times New Roman"/>
        </w:rPr>
        <w:t>Commission</w:t>
      </w:r>
      <w:r w:rsidRPr="009E4A9D">
        <w:rPr>
          <w:rFonts w:ascii="Times New Roman" w:hAnsi="Times New Roman"/>
        </w:rPr>
        <w:t xml:space="preserve"> do exactly </w:t>
      </w:r>
      <w:r w:rsidR="003E2D79">
        <w:rPr>
          <w:rFonts w:ascii="Times New Roman" w:hAnsi="Times New Roman"/>
        </w:rPr>
        <w:t>as he has done – completely ignore</w:t>
      </w:r>
      <w:r w:rsidR="002E6051">
        <w:rPr>
          <w:rFonts w:ascii="Times New Roman" w:hAnsi="Times New Roman"/>
        </w:rPr>
        <w:t>,</w:t>
      </w:r>
      <w:r w:rsidR="003E2D79">
        <w:rPr>
          <w:rFonts w:ascii="Times New Roman" w:hAnsi="Times New Roman"/>
        </w:rPr>
        <w:t xml:space="preserve"> and ascribe no value or weight to, the CAPM. </w:t>
      </w:r>
    </w:p>
    <w:p w:rsidR="000C4888" w:rsidRPr="009E4A9D" w:rsidRDefault="000C4888" w:rsidP="003E2D79">
      <w:pPr>
        <w:tabs>
          <w:tab w:val="left" w:pos="3870"/>
        </w:tabs>
        <w:spacing w:line="480" w:lineRule="auto"/>
        <w:rPr>
          <w:rFonts w:ascii="Times New Roman" w:hAnsi="Times New Roman"/>
        </w:rPr>
      </w:pPr>
      <w:r w:rsidRPr="009E4A9D">
        <w:rPr>
          <w:rFonts w:ascii="Times New Roman" w:hAnsi="Times New Roman"/>
        </w:rPr>
        <w:t xml:space="preserve">The Department respectfully submits that this </w:t>
      </w:r>
      <w:r w:rsidR="003E2D79">
        <w:rPr>
          <w:rFonts w:ascii="Times New Roman" w:hAnsi="Times New Roman"/>
        </w:rPr>
        <w:t>would be</w:t>
      </w:r>
      <w:r w:rsidRPr="009E4A9D">
        <w:rPr>
          <w:rFonts w:ascii="Times New Roman" w:hAnsi="Times New Roman"/>
        </w:rPr>
        <w:t xml:space="preserve"> unacceptable.  The reliability of any ROE model can and does vary from case to case.  Thus, a rate of return expert may, with best judgment to guide, find that circumstances are such that cold numerical rates or even ranges which he attains from calculations under the CAPM model, or any other, are somewhat higher or lower than individual circumstances would suggest they </w:t>
      </w:r>
      <w:r w:rsidR="003E2D79">
        <w:rPr>
          <w:rFonts w:ascii="Times New Roman" w:hAnsi="Times New Roman"/>
        </w:rPr>
        <w:t>ought to be</w:t>
      </w:r>
      <w:r w:rsidRPr="009E4A9D">
        <w:rPr>
          <w:rFonts w:ascii="Times New Roman" w:hAnsi="Times New Roman"/>
        </w:rPr>
        <w:t xml:space="preserve">. (see, </w:t>
      </w:r>
      <w:r w:rsidRPr="009E4A9D">
        <w:rPr>
          <w:rFonts w:ascii="Times New Roman" w:hAnsi="Times New Roman"/>
          <w:i/>
        </w:rPr>
        <w:t>e.g.</w:t>
      </w:r>
      <w:r w:rsidRPr="009E4A9D">
        <w:rPr>
          <w:rFonts w:ascii="Times New Roman" w:hAnsi="Times New Roman"/>
        </w:rPr>
        <w:t xml:space="preserve">, T-2865-2866)   </w:t>
      </w:r>
      <w:r w:rsidR="003E2D79">
        <w:rPr>
          <w:rFonts w:ascii="Times New Roman" w:hAnsi="Times New Roman"/>
        </w:rPr>
        <w:t>An</w:t>
      </w:r>
      <w:r w:rsidRPr="009E4A9D">
        <w:rPr>
          <w:rFonts w:ascii="Times New Roman" w:hAnsi="Times New Roman"/>
        </w:rPr>
        <w:t xml:space="preserve"> expert so situated is free to “tweak” his application of the model in any credible manner, and free, too, to suggest that the models’ resul</w:t>
      </w:r>
      <w:r w:rsidR="003E2D79">
        <w:rPr>
          <w:rFonts w:ascii="Times New Roman" w:hAnsi="Times New Roman"/>
        </w:rPr>
        <w:t>ts</w:t>
      </w:r>
      <w:r w:rsidR="006F6988">
        <w:rPr>
          <w:rFonts w:ascii="Times New Roman" w:hAnsi="Times New Roman"/>
        </w:rPr>
        <w:t xml:space="preserve"> </w:t>
      </w:r>
      <w:r w:rsidRPr="009E4A9D">
        <w:rPr>
          <w:rFonts w:ascii="Times New Roman" w:hAnsi="Times New Roman"/>
        </w:rPr>
        <w:t xml:space="preserve">ought to be given less or more weight in the overall ROE calculation.  But for an expert to do such calculations with a traditionally-accepted and widely-used model, find the numbers not to his liking, and then assert, for that reason and no other, that the model ought to be </w:t>
      </w:r>
      <w:r w:rsidR="003E2D79">
        <w:rPr>
          <w:rFonts w:ascii="Times New Roman" w:hAnsi="Times New Roman"/>
        </w:rPr>
        <w:t xml:space="preserve">summarily and entirely </w:t>
      </w:r>
      <w:r w:rsidRPr="009E4A9D">
        <w:rPr>
          <w:rFonts w:ascii="Times New Roman" w:hAnsi="Times New Roman"/>
        </w:rPr>
        <w:t>cas</w:t>
      </w:r>
      <w:r w:rsidR="003E2D79">
        <w:rPr>
          <w:rFonts w:ascii="Times New Roman" w:hAnsi="Times New Roman"/>
        </w:rPr>
        <w:t>t</w:t>
      </w:r>
      <w:r w:rsidRPr="009E4A9D">
        <w:rPr>
          <w:rFonts w:ascii="Times New Roman" w:hAnsi="Times New Roman"/>
        </w:rPr>
        <w:t xml:space="preserve"> aside is far beyond acceptable practice.  Absent any presentation from KCPL on CAPM, the </w:t>
      </w:r>
      <w:r w:rsidR="00054D30">
        <w:rPr>
          <w:rFonts w:ascii="Times New Roman" w:hAnsi="Times New Roman"/>
        </w:rPr>
        <w:t>Commission</w:t>
      </w:r>
      <w:r w:rsidRPr="009E4A9D">
        <w:rPr>
          <w:rFonts w:ascii="Times New Roman" w:hAnsi="Times New Roman"/>
        </w:rPr>
        <w:t xml:space="preserve"> should adopt Mr. Gorman’s</w:t>
      </w:r>
      <w:r w:rsidR="00284AF9">
        <w:rPr>
          <w:rFonts w:ascii="Times New Roman" w:hAnsi="Times New Roman"/>
        </w:rPr>
        <w:t xml:space="preserve">, and accord it due weight in development of the Company’s </w:t>
      </w:r>
      <w:r w:rsidR="008652B0">
        <w:rPr>
          <w:rFonts w:ascii="Times New Roman" w:hAnsi="Times New Roman"/>
        </w:rPr>
        <w:t>ROE.</w:t>
      </w:r>
      <w:r w:rsidRPr="009E4A9D">
        <w:rPr>
          <w:rFonts w:ascii="Times New Roman" w:hAnsi="Times New Roman"/>
        </w:rPr>
        <w:t xml:space="preserve">  </w:t>
      </w:r>
      <w:r w:rsidR="00284AF9">
        <w:rPr>
          <w:rFonts w:ascii="Times New Roman" w:hAnsi="Times New Roman"/>
        </w:rPr>
        <w:t xml:space="preserve">In this regard, it is worth nothing that </w:t>
      </w:r>
      <w:r w:rsidR="003E2D79">
        <w:rPr>
          <w:rFonts w:ascii="Times New Roman" w:hAnsi="Times New Roman"/>
        </w:rPr>
        <w:t xml:space="preserve">Staff’s </w:t>
      </w:r>
      <w:r w:rsidRPr="009E4A9D">
        <w:rPr>
          <w:rFonts w:ascii="Times New Roman" w:hAnsi="Times New Roman"/>
        </w:rPr>
        <w:t xml:space="preserve">CAPM analysis produces </w:t>
      </w:r>
      <w:r w:rsidR="00284AF9">
        <w:rPr>
          <w:rFonts w:ascii="Times New Roman" w:hAnsi="Times New Roman"/>
        </w:rPr>
        <w:t xml:space="preserve">recommended </w:t>
      </w:r>
      <w:r w:rsidRPr="009E4A9D">
        <w:rPr>
          <w:rFonts w:ascii="Times New Roman" w:hAnsi="Times New Roman"/>
        </w:rPr>
        <w:t>ROEs of 7.72% and 6.69%</w:t>
      </w:r>
      <w:r w:rsidR="00284AF9">
        <w:rPr>
          <w:rFonts w:ascii="Times New Roman" w:hAnsi="Times New Roman"/>
        </w:rPr>
        <w:t xml:space="preserve"> </w:t>
      </w:r>
      <w:r w:rsidR="00284AF9" w:rsidRPr="009E4A9D">
        <w:rPr>
          <w:rFonts w:ascii="Times New Roman" w:hAnsi="Times New Roman"/>
        </w:rPr>
        <w:t>(Staff Rpt</w:t>
      </w:r>
      <w:r w:rsidR="00CB66B7">
        <w:rPr>
          <w:rFonts w:ascii="Times New Roman" w:hAnsi="Times New Roman"/>
        </w:rPr>
        <w:t>.</w:t>
      </w:r>
      <w:r w:rsidR="00284AF9" w:rsidRPr="009E4A9D">
        <w:rPr>
          <w:rFonts w:ascii="Times New Roman" w:hAnsi="Times New Roman"/>
        </w:rPr>
        <w:t>, 34 – 36, Sch. 12)</w:t>
      </w:r>
      <w:r w:rsidRPr="009E4A9D">
        <w:rPr>
          <w:rFonts w:ascii="Times New Roman" w:hAnsi="Times New Roman"/>
        </w:rPr>
        <w:t xml:space="preserve">, and </w:t>
      </w:r>
      <w:r w:rsidR="00284AF9">
        <w:rPr>
          <w:rFonts w:ascii="Times New Roman" w:hAnsi="Times New Roman"/>
        </w:rPr>
        <w:t xml:space="preserve">constitutes </w:t>
      </w:r>
      <w:r w:rsidRPr="009E4A9D">
        <w:rPr>
          <w:rFonts w:ascii="Times New Roman" w:hAnsi="Times New Roman"/>
        </w:rPr>
        <w:t xml:space="preserve">a significant portion of the basis </w:t>
      </w:r>
      <w:r w:rsidR="00284AF9">
        <w:rPr>
          <w:rFonts w:ascii="Times New Roman" w:hAnsi="Times New Roman"/>
        </w:rPr>
        <w:t xml:space="preserve">upon </w:t>
      </w:r>
      <w:r w:rsidRPr="009E4A9D">
        <w:rPr>
          <w:rFonts w:ascii="Times New Roman" w:hAnsi="Times New Roman"/>
        </w:rPr>
        <w:t xml:space="preserve">which Staff asserts </w:t>
      </w:r>
      <w:r w:rsidR="00284AF9">
        <w:rPr>
          <w:rFonts w:ascii="Times New Roman" w:hAnsi="Times New Roman"/>
        </w:rPr>
        <w:t xml:space="preserve">that </w:t>
      </w:r>
      <w:r w:rsidRPr="009E4A9D">
        <w:rPr>
          <w:rFonts w:ascii="Times New Roman" w:hAnsi="Times New Roman"/>
        </w:rPr>
        <w:t xml:space="preserve">it is “not improbable that investors are only requiring returns on common equity in the 7% to 8% range for utility stocks.” (Staff Rpt., 36)   </w:t>
      </w:r>
    </w:p>
    <w:p w:rsidR="009A69F7" w:rsidRPr="00854838" w:rsidRDefault="000C4888" w:rsidP="00854838">
      <w:pPr>
        <w:tabs>
          <w:tab w:val="left" w:pos="3870"/>
        </w:tabs>
        <w:spacing w:line="480" w:lineRule="auto"/>
        <w:rPr>
          <w:rFonts w:ascii="Times New Roman" w:hAnsi="Times New Roman"/>
        </w:rPr>
      </w:pPr>
      <w:r w:rsidRPr="009E4A9D">
        <w:rPr>
          <w:rFonts w:ascii="Times New Roman" w:hAnsi="Times New Roman"/>
        </w:rPr>
        <w:t xml:space="preserve">  </w:t>
      </w:r>
      <w:r w:rsidRPr="009E4A9D">
        <w:rPr>
          <w:rFonts w:ascii="Times New Roman" w:hAnsi="Times New Roman"/>
          <w:i/>
        </w:rPr>
        <w:t xml:space="preserve">  </w:t>
      </w:r>
      <w:r w:rsidRPr="009E4A9D">
        <w:rPr>
          <w:rFonts w:ascii="Times New Roman" w:hAnsi="Times New Roman"/>
        </w:rPr>
        <w:t xml:space="preserve">  </w:t>
      </w:r>
    </w:p>
    <w:p w:rsidR="000C3D42" w:rsidRPr="006C3551" w:rsidRDefault="006F6988" w:rsidP="000C3D42">
      <w:pPr>
        <w:spacing w:line="480" w:lineRule="auto"/>
        <w:rPr>
          <w:rFonts w:ascii="Times New Roman" w:hAnsi="Times New Roman"/>
          <w:b/>
        </w:rPr>
      </w:pPr>
      <w:r>
        <w:rPr>
          <w:rFonts w:ascii="Times New Roman" w:hAnsi="Times New Roman"/>
          <w:b/>
        </w:rPr>
        <w:t xml:space="preserve">7. </w:t>
      </w:r>
      <w:r w:rsidR="002E6051">
        <w:rPr>
          <w:rFonts w:ascii="Times New Roman" w:hAnsi="Times New Roman"/>
          <w:b/>
        </w:rPr>
        <w:t xml:space="preserve"> </w:t>
      </w:r>
      <w:r w:rsidR="000C3D42" w:rsidRPr="006C3551">
        <w:rPr>
          <w:rFonts w:ascii="Times New Roman" w:hAnsi="Times New Roman"/>
          <w:b/>
        </w:rPr>
        <w:t>T</w:t>
      </w:r>
      <w:r>
        <w:rPr>
          <w:rFonts w:ascii="Times New Roman" w:hAnsi="Times New Roman"/>
          <w:b/>
        </w:rPr>
        <w:t>he Witnesses Final ROE Recommendations</w:t>
      </w:r>
    </w:p>
    <w:p w:rsidR="000C3D42" w:rsidRPr="000C3D42" w:rsidRDefault="006F6988" w:rsidP="000C3D42">
      <w:pPr>
        <w:spacing w:line="480" w:lineRule="auto"/>
        <w:rPr>
          <w:rFonts w:ascii="Times New Roman" w:hAnsi="Times New Roman"/>
        </w:rPr>
      </w:pPr>
      <w:r w:rsidRPr="006F6988">
        <w:rPr>
          <w:rFonts w:ascii="Times New Roman" w:hAnsi="Times New Roman"/>
          <w:b/>
        </w:rPr>
        <w:t xml:space="preserve">a. </w:t>
      </w:r>
      <w:r w:rsidR="002E6051">
        <w:rPr>
          <w:rFonts w:ascii="Times New Roman" w:hAnsi="Times New Roman"/>
          <w:b/>
        </w:rPr>
        <w:t xml:space="preserve"> </w:t>
      </w:r>
      <w:r w:rsidRPr="006F6988">
        <w:rPr>
          <w:rFonts w:ascii="Times New Roman" w:hAnsi="Times New Roman"/>
          <w:b/>
        </w:rPr>
        <w:t>Mr. Gorman</w:t>
      </w:r>
      <w:r w:rsidR="000C3D42" w:rsidRPr="000C3D42">
        <w:rPr>
          <w:rFonts w:ascii="Times New Roman" w:hAnsi="Times New Roman"/>
        </w:rPr>
        <w:t xml:space="preserve"> </w:t>
      </w:r>
      <w:r w:rsidR="00284AF9">
        <w:rPr>
          <w:rFonts w:ascii="Times New Roman" w:hAnsi="Times New Roman"/>
        </w:rPr>
        <w:t>-</w:t>
      </w:r>
      <w:r w:rsidR="000C3D42" w:rsidRPr="000C3D42">
        <w:rPr>
          <w:rFonts w:ascii="Times New Roman" w:hAnsi="Times New Roman"/>
        </w:rPr>
        <w:t xml:space="preserve"> </w:t>
      </w:r>
      <w:r>
        <w:rPr>
          <w:rFonts w:ascii="Times New Roman" w:hAnsi="Times New Roman"/>
        </w:rPr>
        <w:t xml:space="preserve"> </w:t>
      </w:r>
      <w:r w:rsidR="000C3D42" w:rsidRPr="000C3D42">
        <w:rPr>
          <w:rFonts w:ascii="Times New Roman" w:hAnsi="Times New Roman"/>
        </w:rPr>
        <w:t xml:space="preserve">Mr. Gorman based his final ROE recommendation on the range of </w:t>
      </w:r>
    </w:p>
    <w:p w:rsidR="000C3D42" w:rsidRPr="000C3D42" w:rsidRDefault="000C3D42" w:rsidP="000C3D42">
      <w:pPr>
        <w:spacing w:line="480" w:lineRule="auto"/>
        <w:rPr>
          <w:rFonts w:ascii="Times New Roman" w:hAnsi="Times New Roman"/>
        </w:rPr>
      </w:pPr>
      <w:r w:rsidRPr="000C3D42">
        <w:rPr>
          <w:rFonts w:ascii="Times New Roman" w:hAnsi="Times New Roman"/>
        </w:rPr>
        <w:t xml:space="preserve"> all three of  his studies, his DCF analysis which produced a</w:t>
      </w:r>
      <w:r w:rsidR="00284AF9">
        <w:rPr>
          <w:rFonts w:ascii="Times New Roman" w:hAnsi="Times New Roman"/>
        </w:rPr>
        <w:t>n</w:t>
      </w:r>
      <w:r w:rsidRPr="000C3D42">
        <w:rPr>
          <w:rFonts w:ascii="Times New Roman" w:hAnsi="Times New Roman"/>
        </w:rPr>
        <w:t xml:space="preserve"> ROE of 9.88%, </w:t>
      </w:r>
      <w:r w:rsidR="00284AF9">
        <w:rPr>
          <w:rFonts w:ascii="Times New Roman" w:hAnsi="Times New Roman"/>
        </w:rPr>
        <w:t xml:space="preserve">his Risk Premium </w:t>
      </w:r>
    </w:p>
    <w:p w:rsidR="000C3D42" w:rsidRPr="000C3D42" w:rsidRDefault="000C3D42" w:rsidP="000C3D42">
      <w:pPr>
        <w:spacing w:line="480" w:lineRule="auto"/>
        <w:rPr>
          <w:rFonts w:ascii="Times New Roman" w:hAnsi="Times New Roman"/>
        </w:rPr>
      </w:pPr>
      <w:r w:rsidRPr="000C3D42">
        <w:rPr>
          <w:rFonts w:ascii="Times New Roman" w:hAnsi="Times New Roman"/>
        </w:rPr>
        <w:t xml:space="preserve"> analysis which produced an ROE of 9.68%, and his CAPM </w:t>
      </w:r>
      <w:r w:rsidR="00284AF9">
        <w:rPr>
          <w:rFonts w:ascii="Times New Roman" w:hAnsi="Times New Roman"/>
        </w:rPr>
        <w:t xml:space="preserve">analysis </w:t>
      </w:r>
      <w:r w:rsidRPr="000C3D42">
        <w:rPr>
          <w:rFonts w:ascii="Times New Roman" w:hAnsi="Times New Roman"/>
        </w:rPr>
        <w:t xml:space="preserve">which produced </w:t>
      </w:r>
    </w:p>
    <w:p w:rsidR="000C3D42" w:rsidRPr="000C3D42" w:rsidRDefault="00284AF9" w:rsidP="000C3D42">
      <w:pPr>
        <w:spacing w:line="480" w:lineRule="auto"/>
        <w:rPr>
          <w:rFonts w:ascii="Times New Roman" w:hAnsi="Times New Roman"/>
        </w:rPr>
      </w:pPr>
      <w:r>
        <w:rPr>
          <w:rFonts w:ascii="Times New Roman" w:hAnsi="Times New Roman"/>
        </w:rPr>
        <w:t>a</w:t>
      </w:r>
      <w:r w:rsidR="000C3D42" w:rsidRPr="000C3D42">
        <w:rPr>
          <w:rFonts w:ascii="Times New Roman" w:hAnsi="Times New Roman"/>
        </w:rPr>
        <w:t xml:space="preserve"> low</w:t>
      </w:r>
      <w:r>
        <w:rPr>
          <w:rFonts w:ascii="Times New Roman" w:hAnsi="Times New Roman"/>
        </w:rPr>
        <w:t>-</w:t>
      </w:r>
      <w:r w:rsidR="000C3D42" w:rsidRPr="000C3D42">
        <w:rPr>
          <w:rFonts w:ascii="Times New Roman" w:hAnsi="Times New Roman"/>
        </w:rPr>
        <w:t>end ROE of  9.40%, for a range of 9.4</w:t>
      </w:r>
      <w:r>
        <w:rPr>
          <w:rFonts w:ascii="Times New Roman" w:hAnsi="Times New Roman"/>
        </w:rPr>
        <w:t>0</w:t>
      </w:r>
      <w:r w:rsidR="000C3D42" w:rsidRPr="000C3D42">
        <w:rPr>
          <w:rFonts w:ascii="Times New Roman" w:hAnsi="Times New Roman"/>
        </w:rPr>
        <w:t xml:space="preserve">% to 9.88% and a midpoint of 9.65%. </w:t>
      </w:r>
    </w:p>
    <w:p w:rsidR="000C3D42" w:rsidRPr="000C3D42" w:rsidRDefault="000C3D42" w:rsidP="00AE7C13">
      <w:pPr>
        <w:spacing w:line="480" w:lineRule="auto"/>
        <w:rPr>
          <w:rFonts w:ascii="Times New Roman" w:hAnsi="Times New Roman"/>
        </w:rPr>
      </w:pPr>
      <w:r w:rsidRPr="000C3D42">
        <w:rPr>
          <w:rFonts w:ascii="Times New Roman" w:hAnsi="Times New Roman"/>
        </w:rPr>
        <w:t>(</w:t>
      </w:r>
      <w:r w:rsidR="00FD4AAA">
        <w:rPr>
          <w:rFonts w:ascii="Times New Roman" w:hAnsi="Times New Roman"/>
        </w:rPr>
        <w:t>Gorman Direct,</w:t>
      </w:r>
      <w:r w:rsidRPr="000C3D42">
        <w:rPr>
          <w:rFonts w:ascii="Times New Roman" w:hAnsi="Times New Roman"/>
        </w:rPr>
        <w:t xml:space="preserve"> 37)   </w:t>
      </w:r>
      <w:r w:rsidR="00AE7C13">
        <w:rPr>
          <w:rFonts w:ascii="Times New Roman" w:hAnsi="Times New Roman"/>
        </w:rPr>
        <w:t xml:space="preserve"> On the basis of these multiple, well-grounded analyses, he </w:t>
      </w:r>
      <w:r w:rsidRPr="000C3D42">
        <w:rPr>
          <w:rFonts w:ascii="Times New Roman" w:hAnsi="Times New Roman"/>
        </w:rPr>
        <w:t>recommended an ROE for KCPL of 9.65%. (</w:t>
      </w:r>
      <w:r w:rsidR="00FD4AAA">
        <w:rPr>
          <w:rFonts w:ascii="Times New Roman" w:hAnsi="Times New Roman"/>
        </w:rPr>
        <w:t>Gorman direct,</w:t>
      </w:r>
      <w:r w:rsidRPr="000C3D42">
        <w:rPr>
          <w:rFonts w:ascii="Times New Roman" w:hAnsi="Times New Roman"/>
        </w:rPr>
        <w:t xml:space="preserve"> 2, 37)  </w:t>
      </w:r>
      <w:r w:rsidR="00AE7C13">
        <w:rPr>
          <w:rFonts w:ascii="Times New Roman" w:hAnsi="Times New Roman"/>
        </w:rPr>
        <w:t>I</w:t>
      </w:r>
      <w:r w:rsidRPr="000C3D42">
        <w:rPr>
          <w:rFonts w:ascii="Times New Roman" w:hAnsi="Times New Roman"/>
        </w:rPr>
        <w:t xml:space="preserve">n his rebuttal testimony, Mr. Gorman stated that </w:t>
      </w:r>
      <w:r w:rsidR="00C50FE5" w:rsidRPr="000C3D42">
        <w:rPr>
          <w:rFonts w:ascii="Times New Roman" w:hAnsi="Times New Roman"/>
        </w:rPr>
        <w:t>he</w:t>
      </w:r>
      <w:r w:rsidRPr="000C3D42">
        <w:rPr>
          <w:rFonts w:ascii="Times New Roman" w:hAnsi="Times New Roman"/>
        </w:rPr>
        <w:t xml:space="preserve"> had developed a more recent ROE </w:t>
      </w:r>
      <w:r w:rsidR="008F43DF" w:rsidRPr="000C3D42">
        <w:rPr>
          <w:rFonts w:ascii="Times New Roman" w:hAnsi="Times New Roman"/>
        </w:rPr>
        <w:t xml:space="preserve">study </w:t>
      </w:r>
      <w:r w:rsidR="00284AF9">
        <w:rPr>
          <w:rFonts w:ascii="Times New Roman" w:hAnsi="Times New Roman"/>
        </w:rPr>
        <w:t xml:space="preserve">which supported </w:t>
      </w:r>
      <w:r w:rsidRPr="000C3D42">
        <w:rPr>
          <w:rFonts w:ascii="Times New Roman" w:hAnsi="Times New Roman"/>
        </w:rPr>
        <w:t>a</w:t>
      </w:r>
      <w:r w:rsidR="00284AF9">
        <w:rPr>
          <w:rFonts w:ascii="Times New Roman" w:hAnsi="Times New Roman"/>
        </w:rPr>
        <w:t xml:space="preserve">n ROE of </w:t>
      </w:r>
      <w:r w:rsidRPr="000C3D42">
        <w:rPr>
          <w:rFonts w:ascii="Times New Roman" w:hAnsi="Times New Roman"/>
        </w:rPr>
        <w:t xml:space="preserve"> 9.5% rather than 9.65%.</w:t>
      </w:r>
      <w:r w:rsidR="00393445">
        <w:rPr>
          <w:rFonts w:ascii="Times New Roman" w:hAnsi="Times New Roman"/>
        </w:rPr>
        <w:t xml:space="preserve"> (</w:t>
      </w:r>
      <w:r w:rsidR="00CB66B7">
        <w:rPr>
          <w:rFonts w:ascii="Times New Roman" w:hAnsi="Times New Roman"/>
        </w:rPr>
        <w:t>Gorman Rebuttal,</w:t>
      </w:r>
      <w:r w:rsidR="00393445">
        <w:rPr>
          <w:rFonts w:ascii="Times New Roman" w:hAnsi="Times New Roman"/>
        </w:rPr>
        <w:t xml:space="preserve"> 3)</w:t>
      </w:r>
      <w:r w:rsidRPr="000C3D42">
        <w:rPr>
          <w:rFonts w:ascii="Times New Roman" w:hAnsi="Times New Roman"/>
        </w:rPr>
        <w:t xml:space="preserve">  </w:t>
      </w:r>
      <w:r w:rsidR="008652B0">
        <w:rPr>
          <w:rFonts w:ascii="Times New Roman" w:hAnsi="Times New Roman"/>
        </w:rPr>
        <w:t>Later, and f</w:t>
      </w:r>
      <w:r w:rsidR="008652B0" w:rsidRPr="000C3D42">
        <w:rPr>
          <w:rFonts w:ascii="Times New Roman" w:hAnsi="Times New Roman"/>
        </w:rPr>
        <w:t xml:space="preserve">rom the stand, he returned to his prior figure of 9.65%. </w:t>
      </w:r>
      <w:r w:rsidRPr="000C3D42">
        <w:rPr>
          <w:rFonts w:ascii="Times New Roman" w:hAnsi="Times New Roman"/>
        </w:rPr>
        <w:t xml:space="preserve">(T-2470, 2852-2853)  </w:t>
      </w:r>
      <w:r w:rsidR="00AE7C13" w:rsidRPr="000C3D42">
        <w:rPr>
          <w:rFonts w:ascii="Times New Roman" w:hAnsi="Times New Roman"/>
        </w:rPr>
        <w:t>He</w:t>
      </w:r>
      <w:r w:rsidR="00AE7C13">
        <w:rPr>
          <w:rFonts w:ascii="Times New Roman" w:hAnsi="Times New Roman"/>
        </w:rPr>
        <w:t xml:space="preserve"> then </w:t>
      </w:r>
      <w:r w:rsidR="00AE7C13" w:rsidRPr="000C3D42">
        <w:rPr>
          <w:rFonts w:ascii="Times New Roman" w:hAnsi="Times New Roman"/>
        </w:rPr>
        <w:t>demonstrated that this return of 9.65% w</w:t>
      </w:r>
      <w:r w:rsidR="00AE7C13">
        <w:rPr>
          <w:rFonts w:ascii="Times New Roman" w:hAnsi="Times New Roman"/>
        </w:rPr>
        <w:t>ill</w:t>
      </w:r>
      <w:r w:rsidR="00AE7C13" w:rsidRPr="000C3D42">
        <w:rPr>
          <w:rFonts w:ascii="Times New Roman" w:hAnsi="Times New Roman"/>
        </w:rPr>
        <w:t xml:space="preserve"> support an investment grade</w:t>
      </w:r>
      <w:r w:rsidR="00AE7C13">
        <w:rPr>
          <w:rFonts w:ascii="Times New Roman" w:hAnsi="Times New Roman"/>
        </w:rPr>
        <w:t xml:space="preserve"> </w:t>
      </w:r>
      <w:r w:rsidR="00AE7C13" w:rsidRPr="000C3D42">
        <w:rPr>
          <w:rFonts w:ascii="Times New Roman" w:hAnsi="Times New Roman"/>
        </w:rPr>
        <w:t>rating for KCPL</w:t>
      </w:r>
      <w:r w:rsidR="00AE7C13">
        <w:rPr>
          <w:rFonts w:ascii="Times New Roman" w:hAnsi="Times New Roman"/>
        </w:rPr>
        <w:t xml:space="preserve">, by comparing the key credit rating financial ratios for KCPL at his proposed ROE to S&amp;P’s benchmark financial ratios using S&amp;P’s new credit metric ranges. </w:t>
      </w:r>
      <w:r w:rsidR="00AE7C13" w:rsidRPr="000C3D42">
        <w:rPr>
          <w:rFonts w:ascii="Times New Roman" w:hAnsi="Times New Roman"/>
        </w:rPr>
        <w:t>(</w:t>
      </w:r>
      <w:r w:rsidR="00FD4AAA">
        <w:rPr>
          <w:rFonts w:ascii="Times New Roman" w:hAnsi="Times New Roman"/>
        </w:rPr>
        <w:t>Gorman Direct,</w:t>
      </w:r>
      <w:r w:rsidR="00AE7C13" w:rsidRPr="000C3D42">
        <w:rPr>
          <w:rFonts w:ascii="Times New Roman" w:hAnsi="Times New Roman"/>
        </w:rPr>
        <w:t xml:space="preserve"> </w:t>
      </w:r>
      <w:r w:rsidR="008652B0" w:rsidRPr="000C3D42">
        <w:rPr>
          <w:rFonts w:ascii="Times New Roman" w:hAnsi="Times New Roman"/>
        </w:rPr>
        <w:t xml:space="preserve">38 </w:t>
      </w:r>
      <w:r w:rsidR="008652B0" w:rsidRPr="000C3D42">
        <w:rPr>
          <w:rFonts w:ascii="Times New Roman" w:hAnsi="Times New Roman"/>
          <w:i/>
        </w:rPr>
        <w:t>et</w:t>
      </w:r>
      <w:r w:rsidR="00AE7C13" w:rsidRPr="000C3D42">
        <w:rPr>
          <w:rFonts w:ascii="Times New Roman" w:hAnsi="Times New Roman"/>
          <w:i/>
        </w:rPr>
        <w:t xml:space="preserve"> seq.</w:t>
      </w:r>
      <w:r w:rsidR="00AE7C13" w:rsidRPr="000C3D42">
        <w:rPr>
          <w:rFonts w:ascii="Times New Roman" w:hAnsi="Times New Roman"/>
        </w:rPr>
        <w:t>)</w:t>
      </w:r>
    </w:p>
    <w:p w:rsidR="00284AF9" w:rsidRDefault="00284AF9" w:rsidP="006C3551">
      <w:pPr>
        <w:spacing w:line="480" w:lineRule="auto"/>
        <w:ind w:firstLine="720"/>
        <w:rPr>
          <w:rFonts w:ascii="Times New Roman" w:hAnsi="Times New Roman"/>
        </w:rPr>
      </w:pPr>
    </w:p>
    <w:p w:rsidR="000C3D42" w:rsidRPr="000C3D42" w:rsidRDefault="006F6988" w:rsidP="00F91F5D">
      <w:pPr>
        <w:spacing w:line="480" w:lineRule="auto"/>
        <w:rPr>
          <w:rFonts w:ascii="Times New Roman" w:hAnsi="Times New Roman"/>
        </w:rPr>
      </w:pPr>
      <w:r w:rsidRPr="006F6988">
        <w:rPr>
          <w:rFonts w:ascii="Times New Roman" w:hAnsi="Times New Roman"/>
          <w:b/>
        </w:rPr>
        <w:t xml:space="preserve">b. </w:t>
      </w:r>
      <w:r w:rsidR="002E6051">
        <w:rPr>
          <w:rFonts w:ascii="Times New Roman" w:hAnsi="Times New Roman"/>
          <w:b/>
        </w:rPr>
        <w:t xml:space="preserve"> </w:t>
      </w:r>
      <w:r w:rsidR="000C3D42" w:rsidRPr="006F6988">
        <w:rPr>
          <w:rFonts w:ascii="Times New Roman" w:hAnsi="Times New Roman"/>
          <w:b/>
        </w:rPr>
        <w:t>D</w:t>
      </w:r>
      <w:r w:rsidRPr="006F6988">
        <w:rPr>
          <w:rFonts w:ascii="Times New Roman" w:hAnsi="Times New Roman"/>
          <w:b/>
        </w:rPr>
        <w:t>r</w:t>
      </w:r>
      <w:r w:rsidR="00284AF9" w:rsidRPr="006F6988">
        <w:rPr>
          <w:rFonts w:ascii="Times New Roman" w:hAnsi="Times New Roman"/>
          <w:b/>
        </w:rPr>
        <w:t>. H</w:t>
      </w:r>
      <w:r w:rsidRPr="006F6988">
        <w:rPr>
          <w:rFonts w:ascii="Times New Roman" w:hAnsi="Times New Roman"/>
          <w:b/>
        </w:rPr>
        <w:t>adaway</w:t>
      </w:r>
      <w:r w:rsidR="000C3D42" w:rsidRPr="000C3D42">
        <w:rPr>
          <w:rFonts w:ascii="Times New Roman" w:hAnsi="Times New Roman"/>
        </w:rPr>
        <w:t xml:space="preserve"> </w:t>
      </w:r>
      <w:r w:rsidR="00284AF9">
        <w:rPr>
          <w:rFonts w:ascii="Times New Roman" w:hAnsi="Times New Roman"/>
        </w:rPr>
        <w:t>-</w:t>
      </w:r>
      <w:r w:rsidR="000C3D42" w:rsidRPr="000C3D42">
        <w:rPr>
          <w:rFonts w:ascii="Times New Roman" w:hAnsi="Times New Roman"/>
        </w:rPr>
        <w:t xml:space="preserve">  </w:t>
      </w:r>
      <w:r w:rsidR="00F605CB">
        <w:rPr>
          <w:rFonts w:ascii="Times New Roman" w:hAnsi="Times New Roman"/>
        </w:rPr>
        <w:t>Dr. Hadaway</w:t>
      </w:r>
      <w:r w:rsidR="000C3D42" w:rsidRPr="000C3D42">
        <w:rPr>
          <w:rFonts w:ascii="Times New Roman" w:hAnsi="Times New Roman"/>
        </w:rPr>
        <w:t xml:space="preserve"> </w:t>
      </w:r>
      <w:r w:rsidR="007622E9">
        <w:rPr>
          <w:rFonts w:ascii="Times New Roman" w:hAnsi="Times New Roman"/>
        </w:rPr>
        <w:t xml:space="preserve">sought </w:t>
      </w:r>
      <w:r w:rsidR="000C3D42" w:rsidRPr="000C3D42">
        <w:rPr>
          <w:rFonts w:ascii="Times New Roman" w:hAnsi="Times New Roman"/>
        </w:rPr>
        <w:t>an ROE of 11.00%. (</w:t>
      </w:r>
      <w:r w:rsidR="00FD4AAA">
        <w:rPr>
          <w:rFonts w:ascii="Times New Roman" w:hAnsi="Times New Roman"/>
        </w:rPr>
        <w:t>Hadaway Surrebuttal,</w:t>
      </w:r>
      <w:r w:rsidR="000C3D42" w:rsidRPr="000C3D42">
        <w:rPr>
          <w:rFonts w:ascii="Times New Roman" w:hAnsi="Times New Roman"/>
        </w:rPr>
        <w:t xml:space="preserve"> 2)  </w:t>
      </w:r>
      <w:r w:rsidR="00F605CB">
        <w:rPr>
          <w:rFonts w:ascii="Times New Roman" w:hAnsi="Times New Roman"/>
        </w:rPr>
        <w:t xml:space="preserve">He </w:t>
      </w:r>
      <w:r w:rsidR="000C3D42" w:rsidRPr="000C3D42">
        <w:rPr>
          <w:rFonts w:ascii="Times New Roman" w:hAnsi="Times New Roman"/>
        </w:rPr>
        <w:t>stated</w:t>
      </w:r>
      <w:r w:rsidR="007622E9">
        <w:rPr>
          <w:rFonts w:ascii="Times New Roman" w:hAnsi="Times New Roman"/>
        </w:rPr>
        <w:t xml:space="preserve"> </w:t>
      </w:r>
      <w:r w:rsidR="000C3D42" w:rsidRPr="000C3D42">
        <w:rPr>
          <w:rFonts w:ascii="Times New Roman" w:hAnsi="Times New Roman"/>
        </w:rPr>
        <w:t>that his risk premium analysis indicate</w:t>
      </w:r>
      <w:r w:rsidR="007622E9">
        <w:rPr>
          <w:rFonts w:ascii="Times New Roman" w:hAnsi="Times New Roman"/>
        </w:rPr>
        <w:t>d</w:t>
      </w:r>
      <w:r w:rsidR="000C3D42" w:rsidRPr="000C3D42">
        <w:rPr>
          <w:rFonts w:ascii="Times New Roman" w:hAnsi="Times New Roman"/>
        </w:rPr>
        <w:t xml:space="preserve"> a range of 10.61% to 10.83%. (</w:t>
      </w:r>
      <w:r w:rsidR="00FD4AAA">
        <w:rPr>
          <w:rFonts w:ascii="Times New Roman" w:hAnsi="Times New Roman"/>
        </w:rPr>
        <w:t xml:space="preserve">Hadaway Direct, </w:t>
      </w:r>
      <w:r w:rsidR="000C3D42" w:rsidRPr="000C3D42">
        <w:rPr>
          <w:rFonts w:ascii="Times New Roman" w:hAnsi="Times New Roman"/>
        </w:rPr>
        <w:t>5)</w:t>
      </w:r>
      <w:r w:rsidR="007622E9">
        <w:rPr>
          <w:rFonts w:ascii="Times New Roman" w:hAnsi="Times New Roman"/>
        </w:rPr>
        <w:t>,</w:t>
      </w:r>
      <w:r w:rsidR="000C3D42" w:rsidRPr="000C3D42">
        <w:rPr>
          <w:rFonts w:ascii="Times New Roman" w:hAnsi="Times New Roman"/>
        </w:rPr>
        <w:t xml:space="preserve"> </w:t>
      </w:r>
      <w:r w:rsidR="000B75E6" w:rsidRPr="000C3D42">
        <w:rPr>
          <w:rFonts w:ascii="Times New Roman" w:hAnsi="Times New Roman"/>
        </w:rPr>
        <w:t>that his DCF analysis indicated a range 10.5% to 11.00</w:t>
      </w:r>
      <w:r w:rsidR="000B75E6">
        <w:rPr>
          <w:rFonts w:ascii="Times New Roman" w:hAnsi="Times New Roman"/>
        </w:rPr>
        <w:t xml:space="preserve">%, and that </w:t>
      </w:r>
      <w:r w:rsidR="000C3D42" w:rsidRPr="000C3D42">
        <w:rPr>
          <w:rFonts w:ascii="Times New Roman" w:hAnsi="Times New Roman"/>
        </w:rPr>
        <w:t xml:space="preserve">he estimated the midpoint cost of equity for his </w:t>
      </w:r>
      <w:r w:rsidR="007622E9">
        <w:rPr>
          <w:rFonts w:ascii="Times New Roman" w:hAnsi="Times New Roman"/>
        </w:rPr>
        <w:t xml:space="preserve">proxy </w:t>
      </w:r>
      <w:r w:rsidR="000C3D42" w:rsidRPr="000C3D42">
        <w:rPr>
          <w:rFonts w:ascii="Times New Roman" w:hAnsi="Times New Roman"/>
        </w:rPr>
        <w:t>group at 10.75%,</w:t>
      </w:r>
      <w:r w:rsidR="000B75E6">
        <w:rPr>
          <w:rFonts w:ascii="Times New Roman" w:hAnsi="Times New Roman"/>
        </w:rPr>
        <w:t>.</w:t>
      </w:r>
      <w:r w:rsidR="000C3D42" w:rsidRPr="000C3D42">
        <w:rPr>
          <w:rFonts w:ascii="Times New Roman" w:hAnsi="Times New Roman"/>
        </w:rPr>
        <w:t xml:space="preserve"> (</w:t>
      </w:r>
      <w:r w:rsidR="00FD4AAA">
        <w:rPr>
          <w:rFonts w:ascii="Times New Roman" w:hAnsi="Times New Roman"/>
        </w:rPr>
        <w:t>Hadaway Direct,</w:t>
      </w:r>
      <w:r w:rsidR="000C3D42" w:rsidRPr="000C3D42">
        <w:rPr>
          <w:rFonts w:ascii="Times New Roman" w:hAnsi="Times New Roman"/>
        </w:rPr>
        <w:t xml:space="preserve"> 5) </w:t>
      </w:r>
      <w:r w:rsidR="000B75E6">
        <w:rPr>
          <w:rFonts w:ascii="Times New Roman" w:hAnsi="Times New Roman"/>
        </w:rPr>
        <w:t xml:space="preserve"> (</w:t>
      </w:r>
      <w:r w:rsidR="00F91F5D">
        <w:rPr>
          <w:rFonts w:ascii="Times New Roman" w:hAnsi="Times New Roman"/>
        </w:rPr>
        <w:t>He provided no CAPM study at all.</w:t>
      </w:r>
      <w:r w:rsidR="000B75E6">
        <w:rPr>
          <w:rFonts w:ascii="Times New Roman" w:hAnsi="Times New Roman"/>
        </w:rPr>
        <w:t>)</w:t>
      </w:r>
      <w:r w:rsidR="00F91F5D">
        <w:rPr>
          <w:rFonts w:ascii="Times New Roman" w:hAnsi="Times New Roman"/>
        </w:rPr>
        <w:t xml:space="preserve">  </w:t>
      </w:r>
      <w:r w:rsidR="000B75E6">
        <w:rPr>
          <w:rFonts w:ascii="Times New Roman" w:hAnsi="Times New Roman"/>
        </w:rPr>
        <w:t xml:space="preserve">Having developed this </w:t>
      </w:r>
      <w:r w:rsidR="00EC67F0">
        <w:rPr>
          <w:rFonts w:ascii="Times New Roman" w:hAnsi="Times New Roman"/>
        </w:rPr>
        <w:t>rate of 10.75%</w:t>
      </w:r>
      <w:r w:rsidR="000B75E6">
        <w:rPr>
          <w:rFonts w:ascii="Times New Roman" w:hAnsi="Times New Roman"/>
        </w:rPr>
        <w:t xml:space="preserve">, </w:t>
      </w:r>
      <w:r w:rsidR="00EC67F0">
        <w:rPr>
          <w:rFonts w:ascii="Times New Roman" w:hAnsi="Times New Roman"/>
        </w:rPr>
        <w:t>recommended that the Commission grant the Company an additional ,25% “adder.” (Hadaway Direct, 10</w:t>
      </w:r>
      <w:r w:rsidR="00F605CB">
        <w:rPr>
          <w:rFonts w:ascii="Times New Roman" w:hAnsi="Times New Roman"/>
        </w:rPr>
        <w:t>;</w:t>
      </w:r>
      <w:r w:rsidR="00EC67F0">
        <w:rPr>
          <w:rFonts w:ascii="Times New Roman" w:hAnsi="Times New Roman"/>
        </w:rPr>
        <w:t xml:space="preserve"> Blanc Direct, 10)  </w:t>
      </w:r>
      <w:r w:rsidR="000B75E6">
        <w:rPr>
          <w:rFonts w:ascii="Times New Roman" w:hAnsi="Times New Roman"/>
        </w:rPr>
        <w:t xml:space="preserve">Thus, </w:t>
      </w:r>
      <w:r w:rsidR="00F605CB">
        <w:rPr>
          <w:rFonts w:ascii="Times New Roman" w:hAnsi="Times New Roman"/>
        </w:rPr>
        <w:t xml:space="preserve">constitutes an </w:t>
      </w:r>
      <w:r w:rsidR="000B75E6">
        <w:rPr>
          <w:rFonts w:ascii="Times New Roman" w:hAnsi="Times New Roman"/>
        </w:rPr>
        <w:t xml:space="preserve">ROE of 11%. </w:t>
      </w:r>
    </w:p>
    <w:p w:rsidR="000B75E6" w:rsidRDefault="000B75E6" w:rsidP="002E6051">
      <w:pPr>
        <w:spacing w:line="480" w:lineRule="auto"/>
        <w:rPr>
          <w:rFonts w:ascii="Times New Roman" w:hAnsi="Times New Roman"/>
          <w:b/>
        </w:rPr>
      </w:pPr>
    </w:p>
    <w:p w:rsidR="000C3D42" w:rsidRPr="000C3D42" w:rsidRDefault="006F6988" w:rsidP="002E6051">
      <w:pPr>
        <w:spacing w:line="480" w:lineRule="auto"/>
        <w:rPr>
          <w:rFonts w:ascii="Times New Roman" w:hAnsi="Times New Roman"/>
        </w:rPr>
      </w:pPr>
      <w:r w:rsidRPr="006F6988">
        <w:rPr>
          <w:rFonts w:ascii="Times New Roman" w:hAnsi="Times New Roman"/>
          <w:b/>
        </w:rPr>
        <w:t xml:space="preserve">c. </w:t>
      </w:r>
      <w:r>
        <w:rPr>
          <w:rFonts w:ascii="Times New Roman" w:hAnsi="Times New Roman"/>
          <w:b/>
        </w:rPr>
        <w:t xml:space="preserve"> </w:t>
      </w:r>
      <w:r w:rsidRPr="006F6988">
        <w:rPr>
          <w:rFonts w:ascii="Times New Roman" w:hAnsi="Times New Roman"/>
          <w:b/>
        </w:rPr>
        <w:t>Mr. Murray</w:t>
      </w:r>
      <w:r>
        <w:rPr>
          <w:rFonts w:ascii="Times New Roman" w:hAnsi="Times New Roman"/>
        </w:rPr>
        <w:t xml:space="preserve"> </w:t>
      </w:r>
      <w:r w:rsidR="00F91F5D">
        <w:rPr>
          <w:rFonts w:ascii="Times New Roman" w:hAnsi="Times New Roman"/>
        </w:rPr>
        <w:t xml:space="preserve"> -  </w:t>
      </w:r>
      <w:r w:rsidR="000C3D42" w:rsidRPr="000C3D42">
        <w:rPr>
          <w:rFonts w:ascii="Times New Roman" w:hAnsi="Times New Roman"/>
        </w:rPr>
        <w:t xml:space="preserve">Mr. Murray prepared the portion of the Staff Report that addressed </w:t>
      </w:r>
    </w:p>
    <w:p w:rsidR="008F43DF" w:rsidRDefault="000C3D42" w:rsidP="000C3D42">
      <w:pPr>
        <w:spacing w:line="480" w:lineRule="auto"/>
        <w:rPr>
          <w:rFonts w:ascii="Times New Roman" w:hAnsi="Times New Roman"/>
        </w:rPr>
      </w:pPr>
      <w:r w:rsidRPr="000C3D42">
        <w:rPr>
          <w:rFonts w:ascii="Times New Roman" w:hAnsi="Times New Roman"/>
        </w:rPr>
        <w:t>rate of return. (Staff Rpt., 26 – 38, Murray Reb</w:t>
      </w:r>
      <w:r w:rsidR="00C50FE5">
        <w:rPr>
          <w:rFonts w:ascii="Times New Roman" w:hAnsi="Times New Roman"/>
        </w:rPr>
        <w:t>uttal,</w:t>
      </w:r>
      <w:r w:rsidRPr="000C3D42">
        <w:rPr>
          <w:rFonts w:ascii="Times New Roman" w:hAnsi="Times New Roman"/>
        </w:rPr>
        <w:t xml:space="preserve"> 1)  Staff recommended and has continued to </w:t>
      </w:r>
      <w:r w:rsidR="008F43DF" w:rsidRPr="000C3D42">
        <w:rPr>
          <w:rFonts w:ascii="Times New Roman" w:hAnsi="Times New Roman"/>
        </w:rPr>
        <w:t>recommend</w:t>
      </w:r>
      <w:r w:rsidRPr="000C3D42">
        <w:rPr>
          <w:rFonts w:ascii="Times New Roman" w:hAnsi="Times New Roman"/>
        </w:rPr>
        <w:t xml:space="preserve"> an ROE in a range of 8.5% to 9.5%. (Staff Rpt. 39;</w:t>
      </w:r>
      <w:r w:rsidR="00FD4AAA">
        <w:rPr>
          <w:rFonts w:ascii="Times New Roman" w:hAnsi="Times New Roman"/>
        </w:rPr>
        <w:t xml:space="preserve"> </w:t>
      </w:r>
      <w:r w:rsidRPr="000C3D42">
        <w:rPr>
          <w:rFonts w:ascii="Times New Roman" w:hAnsi="Times New Roman"/>
        </w:rPr>
        <w:t>M</w:t>
      </w:r>
      <w:r w:rsidR="00FD4AAA">
        <w:rPr>
          <w:rFonts w:ascii="Times New Roman" w:hAnsi="Times New Roman"/>
        </w:rPr>
        <w:t>urray Surrebuttal,</w:t>
      </w:r>
      <w:r w:rsidRPr="000C3D42">
        <w:rPr>
          <w:rFonts w:ascii="Times New Roman" w:hAnsi="Times New Roman"/>
        </w:rPr>
        <w:t xml:space="preserve"> 5, Corrected Sch. 16; Murray True-Up D</w:t>
      </w:r>
      <w:r w:rsidR="00FD4AAA">
        <w:rPr>
          <w:rFonts w:ascii="Times New Roman" w:hAnsi="Times New Roman"/>
        </w:rPr>
        <w:t>irect,</w:t>
      </w:r>
      <w:r w:rsidRPr="000C3D42">
        <w:rPr>
          <w:rFonts w:ascii="Times New Roman" w:hAnsi="Times New Roman"/>
        </w:rPr>
        <w:t xml:space="preserve"> 1)  </w:t>
      </w:r>
      <w:r w:rsidR="00F91F5D">
        <w:rPr>
          <w:rFonts w:ascii="Times New Roman" w:hAnsi="Times New Roman"/>
        </w:rPr>
        <w:t xml:space="preserve">Mr. Murray asserts </w:t>
      </w:r>
      <w:r w:rsidRPr="000C3D42">
        <w:rPr>
          <w:rFonts w:ascii="Times New Roman" w:hAnsi="Times New Roman"/>
        </w:rPr>
        <w:t>that the Goldman</w:t>
      </w:r>
      <w:r w:rsidR="0074075D">
        <w:rPr>
          <w:rFonts w:ascii="Times New Roman" w:hAnsi="Times New Roman"/>
        </w:rPr>
        <w:t xml:space="preserve"> </w:t>
      </w:r>
      <w:r w:rsidR="008F43DF">
        <w:rPr>
          <w:rFonts w:ascii="Times New Roman" w:hAnsi="Times New Roman"/>
        </w:rPr>
        <w:t>Sachs</w:t>
      </w:r>
      <w:r w:rsidRPr="000C3D42">
        <w:rPr>
          <w:rFonts w:ascii="Times New Roman" w:hAnsi="Times New Roman"/>
        </w:rPr>
        <w:t xml:space="preserve"> current cost of equity estimate for the utility industry was 7.7% to 11./1% for the </w:t>
      </w:r>
      <w:r w:rsidR="008F43DF" w:rsidRPr="000C3D42">
        <w:rPr>
          <w:rFonts w:ascii="Times New Roman" w:hAnsi="Times New Roman"/>
        </w:rPr>
        <w:t>utility</w:t>
      </w:r>
      <w:r w:rsidRPr="000C3D42">
        <w:rPr>
          <w:rFonts w:ascii="Times New Roman" w:hAnsi="Times New Roman"/>
        </w:rPr>
        <w:t xml:space="preserve"> industry in early 2009, and that it would now be closer to 7.</w:t>
      </w:r>
      <w:r w:rsidR="00A26DB5">
        <w:rPr>
          <w:rFonts w:ascii="Times New Roman" w:hAnsi="Times New Roman"/>
        </w:rPr>
        <w:t>1</w:t>
      </w:r>
      <w:r w:rsidRPr="000C3D42">
        <w:rPr>
          <w:rFonts w:ascii="Times New Roman" w:hAnsi="Times New Roman"/>
        </w:rPr>
        <w:t xml:space="preserve">% than to </w:t>
      </w:r>
      <w:r w:rsidR="00A26DB5">
        <w:rPr>
          <w:rFonts w:ascii="Times New Roman" w:hAnsi="Times New Roman"/>
        </w:rPr>
        <w:t>9</w:t>
      </w:r>
      <w:r w:rsidRPr="000C3D42">
        <w:rPr>
          <w:rFonts w:ascii="Times New Roman" w:hAnsi="Times New Roman"/>
        </w:rPr>
        <w:t>.1%. (</w:t>
      </w:r>
      <w:r w:rsidR="00FD4AAA">
        <w:rPr>
          <w:rFonts w:ascii="Times New Roman" w:hAnsi="Times New Roman"/>
        </w:rPr>
        <w:t>Murray Surrebuttal,</w:t>
      </w:r>
      <w:r w:rsidRPr="000C3D42">
        <w:rPr>
          <w:rFonts w:ascii="Times New Roman" w:hAnsi="Times New Roman"/>
        </w:rPr>
        <w:t xml:space="preserve"> 2</w:t>
      </w:r>
      <w:r w:rsidR="00A26DB5">
        <w:rPr>
          <w:rFonts w:ascii="Times New Roman" w:hAnsi="Times New Roman"/>
        </w:rPr>
        <w:t>2</w:t>
      </w:r>
      <w:r w:rsidRPr="000C3D42">
        <w:rPr>
          <w:rFonts w:ascii="Times New Roman" w:hAnsi="Times New Roman"/>
        </w:rPr>
        <w:t xml:space="preserve">)  </w:t>
      </w:r>
      <w:r w:rsidR="00F91F5D">
        <w:rPr>
          <w:rFonts w:ascii="Times New Roman" w:hAnsi="Times New Roman"/>
        </w:rPr>
        <w:t xml:space="preserve">Mr. Murray also </w:t>
      </w:r>
      <w:r w:rsidRPr="000C3D42">
        <w:rPr>
          <w:rFonts w:ascii="Times New Roman" w:hAnsi="Times New Roman"/>
        </w:rPr>
        <w:t xml:space="preserve">opined that allowed ROE’s for electric utilities have remained as high as they have until this time because of a </w:t>
      </w:r>
      <w:r w:rsidR="008F43DF" w:rsidRPr="000C3D42">
        <w:rPr>
          <w:rFonts w:ascii="Times New Roman" w:hAnsi="Times New Roman"/>
        </w:rPr>
        <w:t>reluctance</w:t>
      </w:r>
      <w:r w:rsidRPr="000C3D42">
        <w:rPr>
          <w:rFonts w:ascii="Times New Roman" w:hAnsi="Times New Roman"/>
        </w:rPr>
        <w:t xml:space="preserve"> on the part </w:t>
      </w:r>
      <w:r w:rsidR="008652B0" w:rsidRPr="000C3D42">
        <w:rPr>
          <w:rFonts w:ascii="Times New Roman" w:hAnsi="Times New Roman"/>
        </w:rPr>
        <w:t>of regulators</w:t>
      </w:r>
      <w:r w:rsidRPr="000C3D42">
        <w:rPr>
          <w:rFonts w:ascii="Times New Roman" w:hAnsi="Times New Roman"/>
        </w:rPr>
        <w:t xml:space="preserve"> to depart from “stable </w:t>
      </w:r>
      <w:r w:rsidR="008F43DF" w:rsidRPr="000C3D42">
        <w:rPr>
          <w:rFonts w:ascii="Times New Roman" w:hAnsi="Times New Roman"/>
        </w:rPr>
        <w:t>long</w:t>
      </w:r>
      <w:r w:rsidRPr="000C3D42">
        <w:rPr>
          <w:rFonts w:ascii="Times New Roman" w:hAnsi="Times New Roman"/>
        </w:rPr>
        <w:t xml:space="preserve">-run returns of utility capital” by allowing ROEs to </w:t>
      </w:r>
      <w:r w:rsidR="008F43DF" w:rsidRPr="000C3D42">
        <w:rPr>
          <w:rFonts w:ascii="Times New Roman" w:hAnsi="Times New Roman"/>
        </w:rPr>
        <w:t>descend</w:t>
      </w:r>
      <w:r w:rsidRPr="000C3D42">
        <w:rPr>
          <w:rFonts w:ascii="Times New Roman" w:hAnsi="Times New Roman"/>
        </w:rPr>
        <w:t xml:space="preserve"> at rates similar to those at which debt costs have </w:t>
      </w:r>
      <w:r w:rsidR="005B0F26">
        <w:rPr>
          <w:rFonts w:ascii="Times New Roman" w:hAnsi="Times New Roman"/>
        </w:rPr>
        <w:t>fallen</w:t>
      </w:r>
      <w:r w:rsidRPr="000C3D42">
        <w:rPr>
          <w:rFonts w:ascii="Times New Roman" w:hAnsi="Times New Roman"/>
        </w:rPr>
        <w:t>. (</w:t>
      </w:r>
      <w:r w:rsidR="00FD4AAA">
        <w:rPr>
          <w:rFonts w:ascii="Times New Roman" w:hAnsi="Times New Roman"/>
        </w:rPr>
        <w:t>Murray Surrebuttal,</w:t>
      </w:r>
      <w:r w:rsidRPr="000C3D42">
        <w:rPr>
          <w:rFonts w:ascii="Times New Roman" w:hAnsi="Times New Roman"/>
        </w:rPr>
        <w:t xml:space="preserve"> 13)   </w:t>
      </w:r>
    </w:p>
    <w:p w:rsidR="00854838" w:rsidRDefault="00854838" w:rsidP="000C3D42">
      <w:pPr>
        <w:spacing w:line="480" w:lineRule="auto"/>
        <w:rPr>
          <w:rFonts w:ascii="Times New Roman" w:hAnsi="Times New Roman"/>
          <w:b/>
        </w:rPr>
      </w:pPr>
    </w:p>
    <w:p w:rsidR="00854838" w:rsidRDefault="006F6988" w:rsidP="000C3D42">
      <w:pPr>
        <w:spacing w:line="480" w:lineRule="auto"/>
        <w:rPr>
          <w:rFonts w:ascii="Times New Roman" w:hAnsi="Times New Roman"/>
          <w:b/>
        </w:rPr>
      </w:pPr>
      <w:r>
        <w:rPr>
          <w:rFonts w:ascii="Times New Roman" w:hAnsi="Times New Roman"/>
          <w:b/>
        </w:rPr>
        <w:t xml:space="preserve">8. </w:t>
      </w:r>
      <w:r w:rsidR="0099563D">
        <w:rPr>
          <w:rFonts w:ascii="Times New Roman" w:hAnsi="Times New Roman"/>
          <w:b/>
        </w:rPr>
        <w:t xml:space="preserve"> </w:t>
      </w:r>
      <w:r>
        <w:rPr>
          <w:rFonts w:ascii="Times New Roman" w:hAnsi="Times New Roman"/>
          <w:b/>
        </w:rPr>
        <w:t xml:space="preserve">Argument: </w:t>
      </w:r>
      <w:r w:rsidR="00F91F5D">
        <w:rPr>
          <w:rFonts w:ascii="Times New Roman" w:hAnsi="Times New Roman"/>
          <w:b/>
        </w:rPr>
        <w:t>D</w:t>
      </w:r>
      <w:r>
        <w:rPr>
          <w:rFonts w:ascii="Times New Roman" w:hAnsi="Times New Roman"/>
          <w:b/>
        </w:rPr>
        <w:t>r</w:t>
      </w:r>
      <w:r w:rsidR="00F91F5D">
        <w:rPr>
          <w:rFonts w:ascii="Times New Roman" w:hAnsi="Times New Roman"/>
          <w:b/>
        </w:rPr>
        <w:t>. H</w:t>
      </w:r>
      <w:r>
        <w:rPr>
          <w:rFonts w:ascii="Times New Roman" w:hAnsi="Times New Roman"/>
          <w:b/>
        </w:rPr>
        <w:t xml:space="preserve">adaway’s ROE Recommendations Should Be Rejected  </w:t>
      </w:r>
    </w:p>
    <w:p w:rsidR="00F91F5D" w:rsidRDefault="00F91F5D" w:rsidP="00F91F5D">
      <w:pPr>
        <w:spacing w:line="480" w:lineRule="auto"/>
        <w:rPr>
          <w:rFonts w:ascii="Times New Roman" w:hAnsi="Times New Roman"/>
        </w:rPr>
      </w:pPr>
      <w:r>
        <w:rPr>
          <w:rFonts w:ascii="Times New Roman" w:hAnsi="Times New Roman"/>
        </w:rPr>
        <w:t xml:space="preserve">Dr. </w:t>
      </w:r>
      <w:r w:rsidRPr="000C3D42">
        <w:rPr>
          <w:rFonts w:ascii="Times New Roman" w:hAnsi="Times New Roman"/>
        </w:rPr>
        <w:t>H</w:t>
      </w:r>
      <w:r>
        <w:rPr>
          <w:rFonts w:ascii="Times New Roman" w:hAnsi="Times New Roman"/>
        </w:rPr>
        <w:t xml:space="preserve">adaway stated </w:t>
      </w:r>
      <w:r w:rsidR="008652B0">
        <w:rPr>
          <w:rFonts w:ascii="Times New Roman" w:hAnsi="Times New Roman"/>
        </w:rPr>
        <w:t>that his</w:t>
      </w:r>
      <w:r w:rsidRPr="000C3D42">
        <w:rPr>
          <w:rFonts w:ascii="Times New Roman" w:hAnsi="Times New Roman"/>
        </w:rPr>
        <w:t xml:space="preserve"> experience has </w:t>
      </w:r>
      <w:r>
        <w:rPr>
          <w:rFonts w:ascii="Times New Roman" w:hAnsi="Times New Roman"/>
        </w:rPr>
        <w:t>demonstrated</w:t>
      </w:r>
      <w:r w:rsidRPr="000C3D42">
        <w:rPr>
          <w:rFonts w:ascii="Times New Roman" w:hAnsi="Times New Roman"/>
        </w:rPr>
        <w:t xml:space="preserve"> that risk premium methods provide a “good parallel approach” to DCF, and that </w:t>
      </w:r>
      <w:r>
        <w:rPr>
          <w:rFonts w:ascii="Times New Roman" w:hAnsi="Times New Roman"/>
        </w:rPr>
        <w:t>“</w:t>
      </w:r>
      <w:r w:rsidRPr="000C3D42">
        <w:rPr>
          <w:rFonts w:ascii="Times New Roman" w:hAnsi="Times New Roman"/>
        </w:rPr>
        <w:t xml:space="preserve">a combination of DCF and </w:t>
      </w:r>
      <w:r>
        <w:rPr>
          <w:rFonts w:ascii="Times New Roman" w:hAnsi="Times New Roman"/>
        </w:rPr>
        <w:t xml:space="preserve">risk </w:t>
      </w:r>
      <w:r w:rsidRPr="000C3D42">
        <w:rPr>
          <w:rFonts w:ascii="Times New Roman" w:hAnsi="Times New Roman"/>
        </w:rPr>
        <w:t xml:space="preserve">premium </w:t>
      </w:r>
      <w:r>
        <w:rPr>
          <w:rFonts w:ascii="Times New Roman" w:hAnsi="Times New Roman"/>
        </w:rPr>
        <w:t>methods provides the most reliable approach</w:t>
      </w:r>
      <w:r w:rsidRPr="000C3D42">
        <w:rPr>
          <w:rFonts w:ascii="Times New Roman" w:hAnsi="Times New Roman"/>
        </w:rPr>
        <w:t xml:space="preserve">” </w:t>
      </w:r>
      <w:r>
        <w:rPr>
          <w:rFonts w:ascii="Times New Roman" w:hAnsi="Times New Roman"/>
        </w:rPr>
        <w:t xml:space="preserve">to calculating ROE. </w:t>
      </w:r>
      <w:r w:rsidRPr="000C3D42">
        <w:rPr>
          <w:rFonts w:ascii="Times New Roman" w:hAnsi="Times New Roman"/>
        </w:rPr>
        <w:t>(H</w:t>
      </w:r>
      <w:r w:rsidR="00FD4AAA">
        <w:rPr>
          <w:rFonts w:ascii="Times New Roman" w:hAnsi="Times New Roman"/>
        </w:rPr>
        <w:t>adaway Direct,</w:t>
      </w:r>
      <w:r w:rsidRPr="000C3D42">
        <w:rPr>
          <w:rFonts w:ascii="Times New Roman" w:hAnsi="Times New Roman"/>
        </w:rPr>
        <w:t xml:space="preserve"> 15</w:t>
      </w:r>
      <w:r>
        <w:rPr>
          <w:rFonts w:ascii="Times New Roman" w:hAnsi="Times New Roman"/>
        </w:rPr>
        <w:t>)  He said that, in this proceeding, he planned to “rely on” the DCF methodology, and to “review” the risk premium-based methodologies. (H</w:t>
      </w:r>
      <w:r w:rsidR="00FD4AAA">
        <w:rPr>
          <w:rFonts w:ascii="Times New Roman" w:hAnsi="Times New Roman"/>
        </w:rPr>
        <w:t>adaway Direct,</w:t>
      </w:r>
      <w:r>
        <w:rPr>
          <w:rFonts w:ascii="Times New Roman" w:hAnsi="Times New Roman"/>
        </w:rPr>
        <w:t xml:space="preserve"> </w:t>
      </w:r>
      <w:r w:rsidRPr="000C3D42">
        <w:rPr>
          <w:rFonts w:ascii="Times New Roman" w:hAnsi="Times New Roman"/>
        </w:rPr>
        <w:t xml:space="preserve"> 21)</w:t>
      </w:r>
      <w:r>
        <w:rPr>
          <w:rFonts w:ascii="Times New Roman" w:hAnsi="Times New Roman"/>
        </w:rPr>
        <w:t xml:space="preserve">. </w:t>
      </w:r>
    </w:p>
    <w:p w:rsidR="004C35F2" w:rsidRDefault="004C35F2" w:rsidP="00F91F5D">
      <w:pPr>
        <w:spacing w:line="480" w:lineRule="auto"/>
        <w:rPr>
          <w:rFonts w:ascii="Times New Roman" w:hAnsi="Times New Roman"/>
        </w:rPr>
      </w:pPr>
    </w:p>
    <w:p w:rsidR="000A7849" w:rsidRDefault="000A7849" w:rsidP="00F91F5D">
      <w:pPr>
        <w:spacing w:line="480" w:lineRule="auto"/>
        <w:rPr>
          <w:rFonts w:ascii="Times New Roman" w:hAnsi="Times New Roman"/>
        </w:rPr>
      </w:pPr>
      <w:r>
        <w:rPr>
          <w:rFonts w:ascii="Times New Roman" w:hAnsi="Times New Roman"/>
        </w:rPr>
        <w:t xml:space="preserve">Dr. Hadaway has not adhered to his own description of what constitutes the best manner in which to calculate ROE.  Although he made it clear that the best ROE determination is to be made by a combination of all three methodologies, DCF, risk premium and CAPM, he has since ignored the other parties’ and </w:t>
      </w:r>
      <w:r>
        <w:rPr>
          <w:rFonts w:ascii="Times New Roman" w:hAnsi="Times New Roman"/>
          <w:i/>
        </w:rPr>
        <w:t xml:space="preserve">his </w:t>
      </w:r>
      <w:r w:rsidRPr="000A7849">
        <w:rPr>
          <w:rFonts w:ascii="Times New Roman" w:hAnsi="Times New Roman"/>
          <w:i/>
        </w:rPr>
        <w:t>own</w:t>
      </w:r>
      <w:r>
        <w:rPr>
          <w:rFonts w:ascii="Times New Roman" w:hAnsi="Times New Roman"/>
        </w:rPr>
        <w:t xml:space="preserve"> </w:t>
      </w:r>
      <w:r w:rsidRPr="000A7849">
        <w:rPr>
          <w:rFonts w:ascii="Times New Roman" w:hAnsi="Times New Roman"/>
        </w:rPr>
        <w:t>risk</w:t>
      </w:r>
      <w:r>
        <w:rPr>
          <w:rFonts w:ascii="Times New Roman" w:hAnsi="Times New Roman"/>
        </w:rPr>
        <w:t xml:space="preserve"> premium and CAPM analyses, and now seeks to persuade this tribunal to do the same.  </w:t>
      </w:r>
      <w:r w:rsidR="00F91F5D" w:rsidRPr="000C3D42">
        <w:rPr>
          <w:rFonts w:ascii="Times New Roman" w:hAnsi="Times New Roman"/>
        </w:rPr>
        <w:t>Obviously, this departs</w:t>
      </w:r>
      <w:r w:rsidR="005B0F26">
        <w:rPr>
          <w:rFonts w:ascii="Times New Roman" w:hAnsi="Times New Roman"/>
        </w:rPr>
        <w:t xml:space="preserve"> </w:t>
      </w:r>
      <w:r w:rsidR="00F91F5D" w:rsidRPr="000C3D42">
        <w:rPr>
          <w:rFonts w:ascii="Times New Roman" w:hAnsi="Times New Roman"/>
        </w:rPr>
        <w:t xml:space="preserve">starkly from the practice of </w:t>
      </w:r>
      <w:r w:rsidR="00F91F5D">
        <w:rPr>
          <w:rFonts w:ascii="Times New Roman" w:hAnsi="Times New Roman"/>
        </w:rPr>
        <w:t xml:space="preserve">having each witness present three </w:t>
      </w:r>
      <w:r w:rsidR="008652B0">
        <w:rPr>
          <w:rFonts w:ascii="Times New Roman" w:hAnsi="Times New Roman"/>
        </w:rPr>
        <w:t>analyses</w:t>
      </w:r>
      <w:r w:rsidR="00F91F5D">
        <w:rPr>
          <w:rFonts w:ascii="Times New Roman" w:hAnsi="Times New Roman"/>
        </w:rPr>
        <w:t xml:space="preserve">, one based on the DCF, one based on risk premium, and one based on the CAPM, </w:t>
      </w:r>
      <w:r w:rsidR="00F91F5D" w:rsidRPr="000C3D42">
        <w:rPr>
          <w:rFonts w:ascii="Times New Roman" w:hAnsi="Times New Roman"/>
        </w:rPr>
        <w:t>and leaving it to th</w:t>
      </w:r>
      <w:r>
        <w:rPr>
          <w:rFonts w:ascii="Times New Roman" w:hAnsi="Times New Roman"/>
        </w:rPr>
        <w:t>is</w:t>
      </w:r>
      <w:r w:rsidR="00F91F5D" w:rsidRPr="000C3D42">
        <w:rPr>
          <w:rFonts w:ascii="Times New Roman" w:hAnsi="Times New Roman"/>
        </w:rPr>
        <w:t xml:space="preserve"> tribunal to determine</w:t>
      </w:r>
      <w:r w:rsidR="00F91F5D">
        <w:rPr>
          <w:rFonts w:ascii="Times New Roman" w:hAnsi="Times New Roman"/>
        </w:rPr>
        <w:t xml:space="preserve">, on the basis of the resultant complete record, which single analysis </w:t>
      </w:r>
      <w:r w:rsidR="00A26DB5">
        <w:rPr>
          <w:rFonts w:ascii="Times New Roman" w:hAnsi="Times New Roman"/>
        </w:rPr>
        <w:t xml:space="preserve">or combination of </w:t>
      </w:r>
      <w:r w:rsidR="00F91F5D">
        <w:rPr>
          <w:rFonts w:ascii="Times New Roman" w:hAnsi="Times New Roman"/>
        </w:rPr>
        <w:t xml:space="preserve">analyses </w:t>
      </w:r>
      <w:r w:rsidR="00A26DB5">
        <w:rPr>
          <w:rFonts w:ascii="Times New Roman" w:hAnsi="Times New Roman"/>
        </w:rPr>
        <w:t xml:space="preserve">provides the best estimate of the cost of equity. </w:t>
      </w:r>
      <w:r w:rsidR="00F91F5D">
        <w:rPr>
          <w:rFonts w:ascii="Times New Roman" w:hAnsi="Times New Roman"/>
        </w:rPr>
        <w:t xml:space="preserve"> </w:t>
      </w:r>
    </w:p>
    <w:p w:rsidR="004C35F2" w:rsidRDefault="004C35F2" w:rsidP="00F91F5D">
      <w:pPr>
        <w:spacing w:line="480" w:lineRule="auto"/>
        <w:rPr>
          <w:rFonts w:ascii="Times New Roman" w:hAnsi="Times New Roman"/>
        </w:rPr>
      </w:pPr>
    </w:p>
    <w:p w:rsidR="000A7849" w:rsidRDefault="00F91F5D" w:rsidP="00F91F5D">
      <w:pPr>
        <w:spacing w:line="480" w:lineRule="auto"/>
        <w:rPr>
          <w:rFonts w:ascii="Times New Roman" w:hAnsi="Times New Roman"/>
        </w:rPr>
      </w:pPr>
      <w:r w:rsidRPr="000C3D42">
        <w:rPr>
          <w:rFonts w:ascii="Times New Roman" w:hAnsi="Times New Roman"/>
        </w:rPr>
        <w:t xml:space="preserve">The Department respectfully </w:t>
      </w:r>
      <w:r w:rsidR="000A7849">
        <w:rPr>
          <w:rFonts w:ascii="Times New Roman" w:hAnsi="Times New Roman"/>
        </w:rPr>
        <w:t>suggests</w:t>
      </w:r>
      <w:r w:rsidRPr="000C3D42">
        <w:rPr>
          <w:rFonts w:ascii="Times New Roman" w:hAnsi="Times New Roman"/>
        </w:rPr>
        <w:t xml:space="preserve"> that it is </w:t>
      </w:r>
      <w:r w:rsidR="000A7849">
        <w:rPr>
          <w:rFonts w:ascii="Times New Roman" w:hAnsi="Times New Roman"/>
        </w:rPr>
        <w:t xml:space="preserve">entirely acceptable </w:t>
      </w:r>
      <w:r w:rsidRPr="000C3D42">
        <w:rPr>
          <w:rFonts w:ascii="Times New Roman" w:hAnsi="Times New Roman"/>
        </w:rPr>
        <w:t xml:space="preserve">to perform studies </w:t>
      </w:r>
      <w:r w:rsidR="000A7849">
        <w:rPr>
          <w:rFonts w:ascii="Times New Roman" w:hAnsi="Times New Roman"/>
        </w:rPr>
        <w:t xml:space="preserve">that are based on the same methodology in different ways, </w:t>
      </w:r>
      <w:r>
        <w:rPr>
          <w:rFonts w:ascii="Times New Roman" w:hAnsi="Times New Roman"/>
        </w:rPr>
        <w:t xml:space="preserve">or </w:t>
      </w:r>
      <w:r w:rsidRPr="000C3D42">
        <w:rPr>
          <w:rFonts w:ascii="Times New Roman" w:hAnsi="Times New Roman"/>
        </w:rPr>
        <w:t>different inputs</w:t>
      </w:r>
      <w:r>
        <w:rPr>
          <w:rFonts w:ascii="Times New Roman" w:hAnsi="Times New Roman"/>
        </w:rPr>
        <w:t>,</w:t>
      </w:r>
      <w:r w:rsidRPr="000C3D42">
        <w:rPr>
          <w:rFonts w:ascii="Times New Roman" w:hAnsi="Times New Roman"/>
        </w:rPr>
        <w:t xml:space="preserve"> or to </w:t>
      </w:r>
      <w:r w:rsidR="000A7849">
        <w:rPr>
          <w:rFonts w:ascii="Times New Roman" w:hAnsi="Times New Roman"/>
        </w:rPr>
        <w:t xml:space="preserve">argue that any such studies should be </w:t>
      </w:r>
      <w:r w:rsidRPr="000C3D42">
        <w:rPr>
          <w:rFonts w:ascii="Times New Roman" w:hAnsi="Times New Roman"/>
        </w:rPr>
        <w:t>interpret</w:t>
      </w:r>
      <w:r w:rsidR="000A7849">
        <w:rPr>
          <w:rFonts w:ascii="Times New Roman" w:hAnsi="Times New Roman"/>
        </w:rPr>
        <w:t xml:space="preserve">ed and influenced by </w:t>
      </w:r>
      <w:r w:rsidRPr="000C3D42">
        <w:rPr>
          <w:rFonts w:ascii="Times New Roman" w:hAnsi="Times New Roman"/>
        </w:rPr>
        <w:t xml:space="preserve">all manner of other influences and opinions.  But it is </w:t>
      </w:r>
      <w:r w:rsidR="000A7849">
        <w:rPr>
          <w:rFonts w:ascii="Times New Roman" w:hAnsi="Times New Roman"/>
        </w:rPr>
        <w:t xml:space="preserve">not acceptable </w:t>
      </w:r>
      <w:r w:rsidRPr="000C3D42">
        <w:rPr>
          <w:rFonts w:ascii="Times New Roman" w:hAnsi="Times New Roman"/>
        </w:rPr>
        <w:t xml:space="preserve">simply refuse to present </w:t>
      </w:r>
      <w:r w:rsidRPr="000C3D42">
        <w:rPr>
          <w:rFonts w:ascii="Times New Roman" w:hAnsi="Times New Roman"/>
          <w:i/>
        </w:rPr>
        <w:t>any</w:t>
      </w:r>
      <w:r w:rsidRPr="000C3D42">
        <w:rPr>
          <w:rFonts w:ascii="Times New Roman" w:hAnsi="Times New Roman"/>
        </w:rPr>
        <w:t xml:space="preserve"> study at all</w:t>
      </w:r>
      <w:r>
        <w:rPr>
          <w:rFonts w:ascii="Times New Roman" w:hAnsi="Times New Roman"/>
        </w:rPr>
        <w:t xml:space="preserve"> – as </w:t>
      </w:r>
      <w:r w:rsidR="004A6CB8">
        <w:rPr>
          <w:rFonts w:ascii="Times New Roman" w:hAnsi="Times New Roman"/>
        </w:rPr>
        <w:t>Dr. Hadaway</w:t>
      </w:r>
      <w:r>
        <w:rPr>
          <w:rFonts w:ascii="Times New Roman" w:hAnsi="Times New Roman"/>
        </w:rPr>
        <w:t xml:space="preserve"> has done with the CAPM methodology -</w:t>
      </w:r>
      <w:r w:rsidRPr="000C3D42">
        <w:rPr>
          <w:rFonts w:ascii="Times New Roman" w:hAnsi="Times New Roman"/>
        </w:rPr>
        <w:t xml:space="preserve"> and demand that the tribunal simply </w:t>
      </w:r>
      <w:r w:rsidR="008652B0" w:rsidRPr="000C3D42">
        <w:rPr>
          <w:rFonts w:ascii="Times New Roman" w:hAnsi="Times New Roman"/>
        </w:rPr>
        <w:t>precede</w:t>
      </w:r>
      <w:r w:rsidRPr="000C3D42">
        <w:rPr>
          <w:rFonts w:ascii="Times New Roman" w:hAnsi="Times New Roman"/>
        </w:rPr>
        <w:t xml:space="preserve"> on the basis that the study</w:t>
      </w:r>
      <w:r>
        <w:rPr>
          <w:rFonts w:ascii="Times New Roman" w:hAnsi="Times New Roman"/>
        </w:rPr>
        <w:t xml:space="preserve">, if it were presented, would suggest ROE levels that are so profoundly incorrect as to render the study not worth presenting.  </w:t>
      </w:r>
      <w:r w:rsidR="000A7849">
        <w:rPr>
          <w:rFonts w:ascii="Times New Roman" w:hAnsi="Times New Roman"/>
        </w:rPr>
        <w:t xml:space="preserve">Such </w:t>
      </w:r>
      <w:r>
        <w:rPr>
          <w:rFonts w:ascii="Times New Roman" w:hAnsi="Times New Roman"/>
        </w:rPr>
        <w:t xml:space="preserve">decision to completely ignore CAPM, or risk premium, or any other methodology, </w:t>
      </w:r>
      <w:r w:rsidRPr="000C3D42">
        <w:rPr>
          <w:rFonts w:ascii="Times New Roman" w:hAnsi="Times New Roman"/>
        </w:rPr>
        <w:t xml:space="preserve">is for this </w:t>
      </w:r>
      <w:r w:rsidR="00054D30">
        <w:rPr>
          <w:rFonts w:ascii="Times New Roman" w:hAnsi="Times New Roman"/>
        </w:rPr>
        <w:t>Commission</w:t>
      </w:r>
      <w:r w:rsidRPr="000C3D42">
        <w:rPr>
          <w:rFonts w:ascii="Times New Roman" w:hAnsi="Times New Roman"/>
        </w:rPr>
        <w:t xml:space="preserve">, </w:t>
      </w:r>
      <w:r>
        <w:rPr>
          <w:rFonts w:ascii="Times New Roman" w:hAnsi="Times New Roman"/>
        </w:rPr>
        <w:t xml:space="preserve">and </w:t>
      </w:r>
      <w:r w:rsidRPr="000C3D42">
        <w:rPr>
          <w:rFonts w:ascii="Times New Roman" w:hAnsi="Times New Roman"/>
        </w:rPr>
        <w:t>not</w:t>
      </w:r>
      <w:r>
        <w:rPr>
          <w:rFonts w:ascii="Times New Roman" w:hAnsi="Times New Roman"/>
        </w:rPr>
        <w:t xml:space="preserve"> </w:t>
      </w:r>
      <w:r w:rsidRPr="000C3D42">
        <w:rPr>
          <w:rFonts w:ascii="Times New Roman" w:hAnsi="Times New Roman"/>
        </w:rPr>
        <w:t xml:space="preserve">Dr. Hadaway.  </w:t>
      </w:r>
    </w:p>
    <w:p w:rsidR="004C35F2" w:rsidRDefault="004C35F2" w:rsidP="00F91F5D">
      <w:pPr>
        <w:spacing w:line="480" w:lineRule="auto"/>
        <w:rPr>
          <w:rFonts w:ascii="Times New Roman" w:hAnsi="Times New Roman"/>
        </w:rPr>
      </w:pPr>
    </w:p>
    <w:p w:rsidR="00F91F5D" w:rsidRPr="000C3D42" w:rsidRDefault="000A7849" w:rsidP="00F91F5D">
      <w:pPr>
        <w:spacing w:line="480" w:lineRule="auto"/>
        <w:rPr>
          <w:rFonts w:ascii="Times New Roman" w:hAnsi="Times New Roman"/>
        </w:rPr>
      </w:pPr>
      <w:r>
        <w:rPr>
          <w:rFonts w:ascii="Times New Roman" w:hAnsi="Times New Roman"/>
        </w:rPr>
        <w:t xml:space="preserve">Moreover, </w:t>
      </w:r>
      <w:r w:rsidR="00F91F5D" w:rsidRPr="000C3D42">
        <w:rPr>
          <w:rFonts w:ascii="Times New Roman" w:hAnsi="Times New Roman"/>
        </w:rPr>
        <w:t xml:space="preserve">Dr. Hadaway’s failure to provide any CAPM study, </w:t>
      </w:r>
      <w:r>
        <w:rPr>
          <w:rFonts w:ascii="Times New Roman" w:hAnsi="Times New Roman"/>
        </w:rPr>
        <w:t xml:space="preserve">together with </w:t>
      </w:r>
      <w:r w:rsidR="00F91F5D">
        <w:rPr>
          <w:rFonts w:ascii="Times New Roman" w:hAnsi="Times New Roman"/>
        </w:rPr>
        <w:t xml:space="preserve">his </w:t>
      </w:r>
      <w:r w:rsidR="00F91F5D" w:rsidRPr="000C3D42">
        <w:rPr>
          <w:rFonts w:ascii="Times New Roman" w:hAnsi="Times New Roman"/>
        </w:rPr>
        <w:t xml:space="preserve">“discounting” of his own risk premium studies, </w:t>
      </w:r>
      <w:r w:rsidR="005E3B76">
        <w:rPr>
          <w:rFonts w:ascii="Times New Roman" w:hAnsi="Times New Roman"/>
        </w:rPr>
        <w:t xml:space="preserve">leave only his </w:t>
      </w:r>
      <w:r w:rsidR="00F91F5D" w:rsidRPr="000C3D42">
        <w:rPr>
          <w:rFonts w:ascii="Times New Roman" w:hAnsi="Times New Roman"/>
        </w:rPr>
        <w:t xml:space="preserve">DCF studies </w:t>
      </w:r>
      <w:r w:rsidR="005B0F26">
        <w:rPr>
          <w:rFonts w:ascii="Times New Roman" w:hAnsi="Times New Roman"/>
        </w:rPr>
        <w:t xml:space="preserve">to </w:t>
      </w:r>
      <w:r w:rsidR="00F91F5D" w:rsidRPr="000C3D42">
        <w:rPr>
          <w:rFonts w:ascii="Times New Roman" w:hAnsi="Times New Roman"/>
        </w:rPr>
        <w:t>support</w:t>
      </w:r>
      <w:r w:rsidR="005E3B76">
        <w:rPr>
          <w:rFonts w:ascii="Times New Roman" w:hAnsi="Times New Roman"/>
        </w:rPr>
        <w:t xml:space="preserve"> his ROE recommendations.  </w:t>
      </w:r>
      <w:r w:rsidR="00F91F5D" w:rsidRPr="000C3D42">
        <w:rPr>
          <w:rFonts w:ascii="Times New Roman" w:hAnsi="Times New Roman"/>
        </w:rPr>
        <w:t xml:space="preserve"> </w:t>
      </w:r>
      <w:r w:rsidR="002E6051">
        <w:rPr>
          <w:rFonts w:ascii="Times New Roman" w:hAnsi="Times New Roman"/>
        </w:rPr>
        <w:t xml:space="preserve">Dr. Hadaway’s DCF studies </w:t>
      </w:r>
      <w:r w:rsidR="005E3B76">
        <w:rPr>
          <w:rFonts w:ascii="Times New Roman" w:hAnsi="Times New Roman"/>
        </w:rPr>
        <w:t xml:space="preserve"> fail to do </w:t>
      </w:r>
      <w:r w:rsidR="002E6051">
        <w:rPr>
          <w:rFonts w:ascii="Times New Roman" w:hAnsi="Times New Roman"/>
        </w:rPr>
        <w:t>that</w:t>
      </w:r>
      <w:r w:rsidR="005E3B76">
        <w:rPr>
          <w:rFonts w:ascii="Times New Roman" w:hAnsi="Times New Roman"/>
        </w:rPr>
        <w:t xml:space="preserve">.  His </w:t>
      </w:r>
      <w:r w:rsidR="00F91F5D" w:rsidRPr="000C3D42">
        <w:rPr>
          <w:rFonts w:ascii="Times New Roman" w:hAnsi="Times New Roman"/>
        </w:rPr>
        <w:t xml:space="preserve">updated DCF analysis shows ROE at between 10.20% and 10.80%, rather than the 10.61% to 10.83%.  Thus, his lower range descended </w:t>
      </w:r>
      <w:r w:rsidR="008652B0">
        <w:rPr>
          <w:rFonts w:ascii="Times New Roman" w:hAnsi="Times New Roman"/>
        </w:rPr>
        <w:t xml:space="preserve">sharply </w:t>
      </w:r>
      <w:r w:rsidR="008652B0" w:rsidRPr="000C3D42">
        <w:rPr>
          <w:rFonts w:ascii="Times New Roman" w:hAnsi="Times New Roman"/>
        </w:rPr>
        <w:t>between</w:t>
      </w:r>
      <w:r w:rsidR="00F91F5D" w:rsidRPr="000C3D42">
        <w:rPr>
          <w:rFonts w:ascii="Times New Roman" w:hAnsi="Times New Roman"/>
        </w:rPr>
        <w:t xml:space="preserve"> June and December of last year. (H</w:t>
      </w:r>
      <w:r w:rsidR="00FD4AAA">
        <w:rPr>
          <w:rFonts w:ascii="Times New Roman" w:hAnsi="Times New Roman"/>
        </w:rPr>
        <w:t>adaway Rebuttal,</w:t>
      </w:r>
      <w:r w:rsidR="00F91F5D" w:rsidRPr="000C3D42">
        <w:rPr>
          <w:rFonts w:ascii="Times New Roman" w:hAnsi="Times New Roman"/>
        </w:rPr>
        <w:t xml:space="preserve"> 22) </w:t>
      </w:r>
      <w:r w:rsidR="005E3B76">
        <w:rPr>
          <w:rFonts w:ascii="Times New Roman" w:hAnsi="Times New Roman"/>
        </w:rPr>
        <w:t xml:space="preserve">  More important still, and as described above, all but one of Dr. Hadaway’s DCF studies, and his overall DCF-based ROE recommendation, are based upon his unsupported and greatly flawed growth rate of 6%.  As such, these studies cannot be credible and should be rejected.</w:t>
      </w:r>
    </w:p>
    <w:p w:rsidR="00F91F5D" w:rsidRPr="00375592" w:rsidRDefault="00375592" w:rsidP="00F91F5D">
      <w:pPr>
        <w:spacing w:line="480" w:lineRule="auto"/>
        <w:rPr>
          <w:rFonts w:ascii="Times New Roman" w:hAnsi="Times New Roman"/>
        </w:rPr>
      </w:pPr>
      <w:r>
        <w:rPr>
          <w:rFonts w:ascii="Times New Roman" w:hAnsi="Times New Roman"/>
        </w:rPr>
        <w:t>The Commission should reject Dr. Hadaway’s ROE recommendation</w:t>
      </w:r>
      <w:r w:rsidR="0099563D">
        <w:rPr>
          <w:rFonts w:ascii="Times New Roman" w:hAnsi="Times New Roman"/>
        </w:rPr>
        <w:t xml:space="preserve">. </w:t>
      </w:r>
    </w:p>
    <w:p w:rsidR="00854838" w:rsidRDefault="00854838" w:rsidP="000C3D42">
      <w:pPr>
        <w:spacing w:line="480" w:lineRule="auto"/>
        <w:rPr>
          <w:rFonts w:ascii="Times New Roman" w:hAnsi="Times New Roman"/>
          <w:b/>
        </w:rPr>
      </w:pPr>
    </w:p>
    <w:p w:rsidR="00854838" w:rsidRDefault="00854838" w:rsidP="000C3D42">
      <w:pPr>
        <w:spacing w:line="480" w:lineRule="auto"/>
        <w:rPr>
          <w:rFonts w:ascii="Times New Roman" w:hAnsi="Times New Roman"/>
          <w:b/>
        </w:rPr>
      </w:pPr>
    </w:p>
    <w:p w:rsidR="00576B5E" w:rsidRDefault="00576B5E" w:rsidP="00576B5E">
      <w:pPr>
        <w:spacing w:line="480" w:lineRule="auto"/>
        <w:rPr>
          <w:rFonts w:ascii="Times New Roman" w:hAnsi="Times New Roman"/>
          <w:b/>
        </w:rPr>
      </w:pPr>
      <w:r>
        <w:rPr>
          <w:rFonts w:ascii="Times New Roman" w:hAnsi="Times New Roman"/>
          <w:b/>
        </w:rPr>
        <w:t>B.  Interclass Revenue Allocation</w:t>
      </w:r>
    </w:p>
    <w:p w:rsidR="00576B5E" w:rsidRDefault="00576B5E" w:rsidP="00576B5E">
      <w:pPr>
        <w:spacing w:line="480" w:lineRule="auto"/>
        <w:rPr>
          <w:rFonts w:ascii="Times New Roman" w:hAnsi="Times New Roman"/>
        </w:rPr>
      </w:pPr>
      <w:r>
        <w:rPr>
          <w:rFonts w:ascii="Times New Roman" w:hAnsi="Times New Roman"/>
        </w:rPr>
        <w:t xml:space="preserve">Company witness Paul Normand prepared the Company’s cost of service study, which he premised upon a “Base-Interim-Peak” (“BIP”) methodology. </w:t>
      </w:r>
      <w:r w:rsidR="00C50FE5">
        <w:rPr>
          <w:rFonts w:ascii="Times New Roman" w:hAnsi="Times New Roman"/>
        </w:rPr>
        <w:t xml:space="preserve">(Normand Direct, 2 </w:t>
      </w:r>
      <w:r w:rsidR="00C50FE5">
        <w:rPr>
          <w:rFonts w:ascii="Times New Roman" w:hAnsi="Times New Roman"/>
          <w:i/>
        </w:rPr>
        <w:t>et seq.</w:t>
      </w:r>
      <w:r w:rsidR="00C50FE5">
        <w:rPr>
          <w:rFonts w:ascii="Times New Roman" w:hAnsi="Times New Roman"/>
        </w:rPr>
        <w:t>)</w:t>
      </w:r>
      <w:r w:rsidR="00C50FE5" w:rsidRPr="009C4A1B">
        <w:rPr>
          <w:rFonts w:ascii="Times New Roman" w:hAnsi="Times New Roman"/>
        </w:rPr>
        <w:t xml:space="preserve"> </w:t>
      </w:r>
      <w:r w:rsidR="00C50FE5">
        <w:rPr>
          <w:rFonts w:ascii="Times New Roman" w:hAnsi="Times New Roman"/>
        </w:rPr>
        <w:t xml:space="preserve"> </w:t>
      </w:r>
      <w:r>
        <w:rPr>
          <w:rFonts w:ascii="Times New Roman" w:hAnsi="Times New Roman"/>
        </w:rPr>
        <w:t xml:space="preserve">The Office of Public Counsel (“OPC”) did not present a cost of service study, but OPC </w:t>
      </w:r>
      <w:r w:rsidR="008652B0">
        <w:rPr>
          <w:rFonts w:ascii="Times New Roman" w:hAnsi="Times New Roman"/>
        </w:rPr>
        <w:t xml:space="preserve">witness. </w:t>
      </w:r>
      <w:r>
        <w:rPr>
          <w:rFonts w:ascii="Times New Roman" w:hAnsi="Times New Roman"/>
        </w:rPr>
        <w:t>Barbara Meisenheimer prepared interclass revenue allocations based on the Company’s BIP study. (Meisenheimer Direct, 3)  Staff witness Michael Scheperle sponsored a cost of service study based on a methodology that was quite similar to that used by Mr. Normand. (Staff R</w:t>
      </w:r>
      <w:r w:rsidR="00FD4AAA">
        <w:rPr>
          <w:rFonts w:ascii="Times New Roman" w:hAnsi="Times New Roman"/>
        </w:rPr>
        <w:t>pt.,</w:t>
      </w:r>
      <w:r>
        <w:rPr>
          <w:rFonts w:ascii="Times New Roman" w:hAnsi="Times New Roman"/>
        </w:rPr>
        <w:t xml:space="preserve"> , p. 7 </w:t>
      </w:r>
      <w:r>
        <w:rPr>
          <w:rFonts w:ascii="Times New Roman" w:hAnsi="Times New Roman"/>
          <w:i/>
        </w:rPr>
        <w:t xml:space="preserve">et </w:t>
      </w:r>
      <w:r w:rsidRPr="00647D9C">
        <w:rPr>
          <w:rFonts w:ascii="Times New Roman" w:hAnsi="Times New Roman"/>
        </w:rPr>
        <w:t>seq</w:t>
      </w:r>
      <w:r>
        <w:rPr>
          <w:rFonts w:ascii="Times New Roman" w:hAnsi="Times New Roman"/>
        </w:rPr>
        <w:t xml:space="preserve">.; </w:t>
      </w:r>
      <w:r w:rsidRPr="00647D9C">
        <w:rPr>
          <w:rFonts w:ascii="Times New Roman" w:hAnsi="Times New Roman"/>
        </w:rPr>
        <w:t>Scheperle</w:t>
      </w:r>
      <w:r>
        <w:rPr>
          <w:rFonts w:ascii="Times New Roman" w:hAnsi="Times New Roman"/>
        </w:rPr>
        <w:t xml:space="preserve"> Direct, 4 </w:t>
      </w:r>
      <w:r>
        <w:rPr>
          <w:rFonts w:ascii="Times New Roman" w:hAnsi="Times New Roman"/>
          <w:i/>
        </w:rPr>
        <w:t>et seq.</w:t>
      </w:r>
      <w:r>
        <w:rPr>
          <w:rFonts w:ascii="Times New Roman" w:hAnsi="Times New Roman"/>
        </w:rPr>
        <w:t xml:space="preserve">)  Staff advocated that the first $13 million of any rate increase be allocated among the classes whose present contribution to total revenues is less than the Company’s cost to serve them. (Scheperle Direct, 2, 6)  Mr. Maurice Brubaker, witness for Missouri Industrial Energy Consumers and others, prepared a cost of service study based on the “Average &amp; Excess” (“A&amp;E”) methodology. (Brubaker Direct, 3, 18 </w:t>
      </w:r>
      <w:r>
        <w:rPr>
          <w:rFonts w:ascii="Times New Roman" w:hAnsi="Times New Roman"/>
          <w:i/>
        </w:rPr>
        <w:t>et seq.</w:t>
      </w:r>
      <w:r>
        <w:rPr>
          <w:rFonts w:ascii="Times New Roman" w:hAnsi="Times New Roman"/>
        </w:rPr>
        <w:t xml:space="preserve">)  DOE witness Dr. Dennis Goins prepared a cost of service study which was based on the well-recognized “4CP” methodology. (Goins Direct, 18)  </w:t>
      </w:r>
      <w:r w:rsidR="008652B0">
        <w:rPr>
          <w:rFonts w:ascii="Times New Roman" w:hAnsi="Times New Roman"/>
        </w:rPr>
        <w:t>This witness</w:t>
      </w:r>
      <w:r>
        <w:rPr>
          <w:rFonts w:ascii="Times New Roman" w:hAnsi="Times New Roman"/>
        </w:rPr>
        <w:t xml:space="preserve"> exchanged extensive views as the pros and cons of these methodologies</w:t>
      </w:r>
      <w:r w:rsidRPr="002B1B4E">
        <w:rPr>
          <w:rFonts w:ascii="Times New Roman" w:hAnsi="Times New Roman"/>
        </w:rPr>
        <w:t xml:space="preserve"> </w:t>
      </w:r>
      <w:r>
        <w:rPr>
          <w:rFonts w:ascii="Times New Roman" w:hAnsi="Times New Roman"/>
        </w:rPr>
        <w:t>through three rounds of testimony.</w:t>
      </w:r>
    </w:p>
    <w:p w:rsidR="004C35F2" w:rsidRDefault="004C35F2" w:rsidP="00576B5E">
      <w:pPr>
        <w:spacing w:line="480" w:lineRule="auto"/>
        <w:rPr>
          <w:rFonts w:ascii="Times New Roman" w:hAnsi="Times New Roman"/>
        </w:rPr>
      </w:pPr>
    </w:p>
    <w:p w:rsidR="00576B5E" w:rsidRDefault="00576B5E" w:rsidP="00576B5E">
      <w:pPr>
        <w:spacing w:line="480" w:lineRule="auto"/>
        <w:rPr>
          <w:rFonts w:ascii="Times New Roman" w:hAnsi="Times New Roman"/>
        </w:rPr>
      </w:pPr>
      <w:r>
        <w:rPr>
          <w:rFonts w:ascii="Times New Roman" w:hAnsi="Times New Roman"/>
        </w:rPr>
        <w:t xml:space="preserve">Although there was much debate regarding the relative merits of these allocation methodologies, the Company itself proposed to allocate whatever increase it might receive among its customer classes on an across-the-board basis.  (Rush Direct, 8)   For the Department, Dr. Goins expressed agreement.  He stated that he believed that it would be best at this time for the Commission not to choose any of these methodologies at this time, but rather to direct the Company to allocate revenues on an equal percentage “across-the-board” basis. He explained that this would be reasonable and prudent because current economic conditions are such that there ought to be no rate class should receive an above-average increase.  Dr. Goins added that across-the-board treatment is also best at present because the Commission has not yet decided how key cost items (in particular fixed production costs) should be allocated among the rate classes, and because the Company’s cost of service study is not reliable. (Goins Direct, 7)   </w:t>
      </w:r>
    </w:p>
    <w:p w:rsidR="00576B5E" w:rsidRPr="002B1B4E" w:rsidRDefault="00576B5E" w:rsidP="00576B5E">
      <w:pPr>
        <w:spacing w:line="480" w:lineRule="auto"/>
        <w:rPr>
          <w:rFonts w:ascii="Times New Roman" w:hAnsi="Times New Roman"/>
        </w:rPr>
      </w:pPr>
      <w:r w:rsidRPr="002B1B4E">
        <w:rPr>
          <w:rFonts w:ascii="Times New Roman" w:hAnsi="Times New Roman"/>
        </w:rPr>
        <w:t>An undated document titled</w:t>
      </w:r>
      <w:r w:rsidRPr="002B1B4E">
        <w:rPr>
          <w:rFonts w:ascii="Times New Roman" w:hAnsi="Times New Roman"/>
          <w:i/>
        </w:rPr>
        <w:t xml:space="preserve"> Non-Unanimous Stipulation and Agreement as to Class Cost of Service/Rate Design</w:t>
      </w:r>
      <w:r w:rsidRPr="002B1B4E">
        <w:rPr>
          <w:rFonts w:ascii="Times New Roman" w:hAnsi="Times New Roman"/>
        </w:rPr>
        <w:t xml:space="preserve"> was filed on the Commission website on February 4, 2011.  The terms of this stipulation include allocation of any revenue increase that is granted in this proceeding on an equal percentage, across-the-board basis, to all rate classes.  </w:t>
      </w:r>
      <w:r w:rsidR="00970C3C">
        <w:rPr>
          <w:rFonts w:ascii="Times New Roman" w:hAnsi="Times New Roman"/>
        </w:rPr>
        <w:t>This fair and logical approach to allocation of any rate increase should be adopted.</w:t>
      </w:r>
    </w:p>
    <w:p w:rsidR="00576B5E" w:rsidRPr="00144B68" w:rsidRDefault="00576B5E" w:rsidP="00576B5E">
      <w:pPr>
        <w:spacing w:line="480" w:lineRule="auto"/>
        <w:rPr>
          <w:rFonts w:ascii="Times New Roman" w:hAnsi="Times New Roman"/>
        </w:rPr>
      </w:pPr>
      <w:r w:rsidRPr="002B1B4E">
        <w:rPr>
          <w:rFonts w:ascii="Times New Roman" w:hAnsi="Times New Roman"/>
        </w:rPr>
        <w:t xml:space="preserve">   </w:t>
      </w:r>
    </w:p>
    <w:p w:rsidR="00576B5E" w:rsidRDefault="00576B5E" w:rsidP="00576B5E">
      <w:pPr>
        <w:spacing w:line="480" w:lineRule="auto"/>
        <w:rPr>
          <w:rFonts w:ascii="Times New Roman" w:hAnsi="Times New Roman"/>
        </w:rPr>
      </w:pPr>
      <w:r>
        <w:rPr>
          <w:rFonts w:ascii="Times New Roman" w:hAnsi="Times New Roman"/>
          <w:b/>
        </w:rPr>
        <w:t>C.</w:t>
      </w:r>
      <w:r w:rsidR="002E6051">
        <w:rPr>
          <w:rFonts w:ascii="Times New Roman" w:hAnsi="Times New Roman"/>
          <w:b/>
        </w:rPr>
        <w:t xml:space="preserve">  </w:t>
      </w:r>
      <w:r>
        <w:rPr>
          <w:rFonts w:ascii="Times New Roman" w:hAnsi="Times New Roman"/>
          <w:b/>
        </w:rPr>
        <w:t>Interclass Allocation of Off-System Sales Revenues</w:t>
      </w:r>
      <w:r w:rsidR="005B0F26">
        <w:rPr>
          <w:rFonts w:ascii="Times New Roman" w:hAnsi="Times New Roman"/>
          <w:b/>
        </w:rPr>
        <w:t xml:space="preserve">   </w:t>
      </w:r>
      <w:r w:rsidR="005B0F26">
        <w:rPr>
          <w:rFonts w:ascii="Times New Roman" w:hAnsi="Times New Roman"/>
        </w:rPr>
        <w:t xml:space="preserve">                                                            </w:t>
      </w:r>
      <w:r>
        <w:rPr>
          <w:rFonts w:ascii="Times New Roman" w:hAnsi="Times New Roman"/>
        </w:rPr>
        <w:t>Although it has up to this time carried out allocation of off-system sales (“OSS”) margins on the basis of class energy usage</w:t>
      </w:r>
      <w:r w:rsidR="005B0F26">
        <w:rPr>
          <w:rFonts w:ascii="Times New Roman" w:hAnsi="Times New Roman"/>
        </w:rPr>
        <w:t>,</w:t>
      </w:r>
      <w:r>
        <w:rPr>
          <w:rFonts w:ascii="Times New Roman" w:hAnsi="Times New Roman"/>
        </w:rPr>
        <w:t xml:space="preserve"> KCPL has proposed in this filing to allocate among its Missouri customer classes on the basis of a demand allocator. (Goins Direct, 13)   The Department respectfully </w:t>
      </w:r>
      <w:r w:rsidR="005B0F26">
        <w:rPr>
          <w:rFonts w:ascii="Times New Roman" w:hAnsi="Times New Roman"/>
        </w:rPr>
        <w:t>opposes this, because t</w:t>
      </w:r>
      <w:r>
        <w:rPr>
          <w:rFonts w:ascii="Times New Roman" w:hAnsi="Times New Roman"/>
        </w:rPr>
        <w:t xml:space="preserve">his Commission adopted an energy usage-based OSS allocation methodology </w:t>
      </w:r>
      <w:r w:rsidR="008652B0">
        <w:rPr>
          <w:rFonts w:ascii="Times New Roman" w:hAnsi="Times New Roman"/>
        </w:rPr>
        <w:t>for</w:t>
      </w:r>
      <w:r>
        <w:rPr>
          <w:rFonts w:ascii="Times New Roman" w:hAnsi="Times New Roman"/>
        </w:rPr>
        <w:t xml:space="preserve"> a similar entity less than one year ago</w:t>
      </w:r>
      <w:r w:rsidR="00747CB7">
        <w:rPr>
          <w:rFonts w:ascii="Times New Roman" w:hAnsi="Times New Roman"/>
        </w:rPr>
        <w:t>.</w:t>
      </w:r>
      <w:r>
        <w:rPr>
          <w:rFonts w:ascii="Times New Roman" w:hAnsi="Times New Roman"/>
        </w:rPr>
        <w:t xml:space="preserve"> (</w:t>
      </w:r>
      <w:r w:rsidRPr="002F3D78">
        <w:rPr>
          <w:rFonts w:ascii="Times New Roman" w:hAnsi="Times New Roman"/>
          <w:i/>
        </w:rPr>
        <w:t>Ameron</w:t>
      </w:r>
      <w:r w:rsidR="002F3D78" w:rsidRPr="002F3D78">
        <w:rPr>
          <w:rFonts w:ascii="Times New Roman" w:hAnsi="Times New Roman"/>
          <w:i/>
        </w:rPr>
        <w:t>,</w:t>
      </w:r>
      <w:r w:rsidR="005B0F26">
        <w:rPr>
          <w:rFonts w:ascii="Times New Roman" w:hAnsi="Times New Roman"/>
          <w:i/>
        </w:rPr>
        <w:t xml:space="preserve"> </w:t>
      </w:r>
      <w:r w:rsidR="002F3D78">
        <w:rPr>
          <w:rFonts w:ascii="Times New Roman" w:hAnsi="Times New Roman"/>
          <w:i/>
        </w:rPr>
        <w:t>supra.</w:t>
      </w:r>
      <w:r w:rsidR="002F3D78" w:rsidRPr="002F3D78">
        <w:rPr>
          <w:rFonts w:ascii="Times New Roman" w:hAnsi="Times New Roman"/>
          <w:i/>
          <w:u w:val="single"/>
        </w:rPr>
        <w:t>,</w:t>
      </w:r>
      <w:r>
        <w:rPr>
          <w:rFonts w:ascii="Times New Roman" w:hAnsi="Times New Roman"/>
        </w:rPr>
        <w:t xml:space="preserve"> 86-87)</w:t>
      </w:r>
      <w:r w:rsidR="00747CB7">
        <w:rPr>
          <w:rFonts w:ascii="Times New Roman" w:hAnsi="Times New Roman"/>
        </w:rPr>
        <w:t xml:space="preserve">  Moreover, </w:t>
      </w:r>
      <w:r>
        <w:rPr>
          <w:rFonts w:ascii="Times New Roman" w:hAnsi="Times New Roman"/>
        </w:rPr>
        <w:t xml:space="preserve">and as Mr. Brubaker and Dr. Goins have agreed, that the Company has </w:t>
      </w:r>
      <w:r w:rsidR="00747CB7">
        <w:rPr>
          <w:rFonts w:ascii="Times New Roman" w:hAnsi="Times New Roman"/>
        </w:rPr>
        <w:t xml:space="preserve">not </w:t>
      </w:r>
      <w:r>
        <w:rPr>
          <w:rFonts w:ascii="Times New Roman" w:hAnsi="Times New Roman"/>
        </w:rPr>
        <w:t xml:space="preserve">provided </w:t>
      </w:r>
      <w:r w:rsidR="00747CB7">
        <w:rPr>
          <w:rFonts w:ascii="Times New Roman" w:hAnsi="Times New Roman"/>
        </w:rPr>
        <w:t>any</w:t>
      </w:r>
      <w:r>
        <w:rPr>
          <w:rFonts w:ascii="Times New Roman" w:hAnsi="Times New Roman"/>
        </w:rPr>
        <w:t xml:space="preserve"> acceptable justification for this proposed departure from Commission precedent. (Bru</w:t>
      </w:r>
      <w:r w:rsidR="00FD4AAA">
        <w:rPr>
          <w:rFonts w:ascii="Times New Roman" w:hAnsi="Times New Roman"/>
        </w:rPr>
        <w:t>baker Rebuttal,</w:t>
      </w:r>
      <w:r>
        <w:rPr>
          <w:rFonts w:ascii="Times New Roman" w:hAnsi="Times New Roman"/>
        </w:rPr>
        <w:t xml:space="preserve"> 3; Goins Direct, 6, 13) </w:t>
      </w:r>
      <w:r w:rsidR="00970C3C">
        <w:rPr>
          <w:rFonts w:ascii="Times New Roman" w:hAnsi="Times New Roman"/>
        </w:rPr>
        <w:t xml:space="preserve"> The Cost of Service Settlement and equal percentage increase for the rate classes </w:t>
      </w:r>
      <w:r w:rsidR="00C71367">
        <w:rPr>
          <w:rFonts w:ascii="Times New Roman" w:hAnsi="Times New Roman"/>
        </w:rPr>
        <w:t>re</w:t>
      </w:r>
      <w:r w:rsidR="00970C3C">
        <w:rPr>
          <w:rFonts w:ascii="Times New Roman" w:hAnsi="Times New Roman"/>
        </w:rPr>
        <w:t xml:space="preserve">solves this </w:t>
      </w:r>
      <w:r w:rsidR="00C71367">
        <w:rPr>
          <w:rFonts w:ascii="Times New Roman" w:hAnsi="Times New Roman"/>
        </w:rPr>
        <w:t>concern</w:t>
      </w:r>
      <w:r w:rsidR="00970C3C">
        <w:rPr>
          <w:rFonts w:ascii="Times New Roman" w:hAnsi="Times New Roman"/>
        </w:rPr>
        <w:t xml:space="preserve"> as well.  Once again,</w:t>
      </w:r>
      <w:r>
        <w:rPr>
          <w:rFonts w:ascii="Times New Roman" w:hAnsi="Times New Roman"/>
        </w:rPr>
        <w:t xml:space="preserve"> </w:t>
      </w:r>
      <w:r w:rsidR="00747CB7">
        <w:rPr>
          <w:rFonts w:ascii="Times New Roman" w:hAnsi="Times New Roman"/>
        </w:rPr>
        <w:t xml:space="preserve"> t</w:t>
      </w:r>
      <w:r>
        <w:rPr>
          <w:rFonts w:ascii="Times New Roman" w:hAnsi="Times New Roman"/>
        </w:rPr>
        <w:t>he Departmen</w:t>
      </w:r>
      <w:r w:rsidR="00747CB7">
        <w:rPr>
          <w:rFonts w:ascii="Times New Roman" w:hAnsi="Times New Roman"/>
        </w:rPr>
        <w:t>t</w:t>
      </w:r>
      <w:r>
        <w:rPr>
          <w:rFonts w:ascii="Times New Roman" w:hAnsi="Times New Roman"/>
        </w:rPr>
        <w:t xml:space="preserve"> respectfully asks the Commission </w:t>
      </w:r>
      <w:r w:rsidR="00747CB7">
        <w:rPr>
          <w:rFonts w:ascii="Times New Roman" w:hAnsi="Times New Roman"/>
        </w:rPr>
        <w:t xml:space="preserve">to </w:t>
      </w:r>
      <w:r w:rsidR="00970C3C">
        <w:rPr>
          <w:rFonts w:ascii="Times New Roman" w:hAnsi="Times New Roman"/>
        </w:rPr>
        <w:t xml:space="preserve">adopt the across-the board revenue increase to the customer classes in accordance with the Stipulation filed on </w:t>
      </w:r>
      <w:r w:rsidR="00F63976">
        <w:rPr>
          <w:rFonts w:ascii="Times New Roman" w:hAnsi="Times New Roman"/>
        </w:rPr>
        <w:t>February 4, 2011.</w:t>
      </w:r>
      <w:r>
        <w:rPr>
          <w:rFonts w:ascii="Times New Roman" w:hAnsi="Times New Roman"/>
        </w:rPr>
        <w:t xml:space="preserve"> </w:t>
      </w:r>
    </w:p>
    <w:p w:rsidR="00576B5E" w:rsidRPr="00576B5E" w:rsidRDefault="00576B5E" w:rsidP="00576B5E">
      <w:pPr>
        <w:spacing w:line="480" w:lineRule="auto"/>
        <w:rPr>
          <w:rFonts w:ascii="Times New Roman" w:hAnsi="Times New Roman"/>
        </w:rPr>
      </w:pPr>
    </w:p>
    <w:p w:rsidR="00747CB7" w:rsidRDefault="00747CB7" w:rsidP="000C3D42">
      <w:pPr>
        <w:spacing w:line="480" w:lineRule="auto"/>
        <w:rPr>
          <w:rFonts w:ascii="Times New Roman" w:hAnsi="Times New Roman"/>
          <w:b/>
        </w:rPr>
      </w:pPr>
    </w:p>
    <w:p w:rsidR="002E6051" w:rsidRPr="005B0F26" w:rsidRDefault="00747CB7" w:rsidP="000C3D42">
      <w:pPr>
        <w:spacing w:line="480" w:lineRule="auto"/>
        <w:rPr>
          <w:rFonts w:ascii="Times New Roman" w:hAnsi="Times New Roman"/>
          <w:b/>
        </w:rPr>
      </w:pPr>
      <w:r w:rsidRPr="005B0F26">
        <w:rPr>
          <w:rFonts w:ascii="Times New Roman" w:hAnsi="Times New Roman"/>
          <w:b/>
        </w:rPr>
        <w:t>III</w:t>
      </w:r>
      <w:r w:rsidR="002E6051" w:rsidRPr="005B0F26">
        <w:rPr>
          <w:rFonts w:ascii="Times New Roman" w:hAnsi="Times New Roman"/>
          <w:b/>
        </w:rPr>
        <w:t xml:space="preserve">. </w:t>
      </w:r>
      <w:r w:rsidR="00DC2066">
        <w:rPr>
          <w:rFonts w:ascii="Times New Roman" w:hAnsi="Times New Roman"/>
          <w:b/>
        </w:rPr>
        <w:t xml:space="preserve"> </w:t>
      </w:r>
      <w:r w:rsidR="002E6051" w:rsidRPr="005B0F26">
        <w:rPr>
          <w:rFonts w:ascii="Times New Roman" w:hAnsi="Times New Roman"/>
          <w:b/>
        </w:rPr>
        <w:t>Conclusion</w:t>
      </w:r>
    </w:p>
    <w:p w:rsidR="005E3B76" w:rsidRPr="00747CB7" w:rsidRDefault="005E3B76" w:rsidP="000C3D42">
      <w:pPr>
        <w:spacing w:line="480" w:lineRule="auto"/>
        <w:rPr>
          <w:rFonts w:ascii="Times New Roman" w:hAnsi="Times New Roman"/>
        </w:rPr>
      </w:pPr>
      <w:r w:rsidRPr="00747CB7">
        <w:rPr>
          <w:rFonts w:ascii="Times New Roman" w:hAnsi="Times New Roman"/>
        </w:rPr>
        <w:t>For th</w:t>
      </w:r>
      <w:r w:rsidR="003C6F29" w:rsidRPr="00747CB7">
        <w:rPr>
          <w:rFonts w:ascii="Times New Roman" w:hAnsi="Times New Roman"/>
        </w:rPr>
        <w:t>e</w:t>
      </w:r>
      <w:r w:rsidRPr="00747CB7">
        <w:rPr>
          <w:rFonts w:ascii="Times New Roman" w:hAnsi="Times New Roman"/>
        </w:rPr>
        <w:t xml:space="preserve"> reasons above-stated</w:t>
      </w:r>
      <w:r w:rsidR="004C35F2">
        <w:rPr>
          <w:rFonts w:ascii="Times New Roman" w:hAnsi="Times New Roman"/>
        </w:rPr>
        <w:t>, the Commission should adopt</w:t>
      </w:r>
      <w:r w:rsidRPr="00747CB7">
        <w:rPr>
          <w:rFonts w:ascii="Times New Roman" w:hAnsi="Times New Roman"/>
        </w:rPr>
        <w:t>:</w:t>
      </w:r>
    </w:p>
    <w:p w:rsidR="005E3B76" w:rsidRPr="00747CB7" w:rsidRDefault="002E6051" w:rsidP="000C3D42">
      <w:pPr>
        <w:spacing w:line="480" w:lineRule="auto"/>
        <w:rPr>
          <w:rFonts w:ascii="Times New Roman" w:hAnsi="Times New Roman"/>
        </w:rPr>
      </w:pPr>
      <w:r>
        <w:rPr>
          <w:rFonts w:ascii="Times New Roman" w:hAnsi="Times New Roman"/>
        </w:rPr>
        <w:t>A</w:t>
      </w:r>
      <w:r w:rsidR="005E3B76" w:rsidRPr="00747CB7">
        <w:rPr>
          <w:rFonts w:ascii="Times New Roman" w:hAnsi="Times New Roman"/>
        </w:rPr>
        <w:t>.  Mr. Gorman’s recommendation to grant the Company an ROE of 9.65%</w:t>
      </w:r>
      <w:r w:rsidR="00747CB7" w:rsidRPr="00747CB7">
        <w:rPr>
          <w:rFonts w:ascii="Times New Roman" w:hAnsi="Times New Roman"/>
        </w:rPr>
        <w:t xml:space="preserve">; </w:t>
      </w:r>
    </w:p>
    <w:p w:rsidR="00435CB2" w:rsidRDefault="00435CB2" w:rsidP="000C3D42">
      <w:pPr>
        <w:spacing w:line="480" w:lineRule="auto"/>
        <w:rPr>
          <w:rFonts w:ascii="Times New Roman" w:hAnsi="Times New Roman"/>
        </w:rPr>
      </w:pPr>
    </w:p>
    <w:p w:rsidR="00747CB7" w:rsidRDefault="002E6051" w:rsidP="00435CB2">
      <w:pPr>
        <w:spacing w:line="480" w:lineRule="auto"/>
        <w:rPr>
          <w:rFonts w:ascii="Times New Roman" w:hAnsi="Times New Roman"/>
        </w:rPr>
      </w:pPr>
      <w:r>
        <w:rPr>
          <w:rFonts w:ascii="Times New Roman" w:hAnsi="Times New Roman"/>
        </w:rPr>
        <w:t>B</w:t>
      </w:r>
      <w:r w:rsidR="00747CB7" w:rsidRPr="00747CB7">
        <w:rPr>
          <w:rFonts w:ascii="Times New Roman" w:hAnsi="Times New Roman"/>
        </w:rPr>
        <w:t xml:space="preserve">.  </w:t>
      </w:r>
      <w:r w:rsidR="00F63976">
        <w:rPr>
          <w:rFonts w:ascii="Times New Roman" w:hAnsi="Times New Roman"/>
        </w:rPr>
        <w:t xml:space="preserve">an across-the-board equal percentage revenue increase for each class of customers as set out in </w:t>
      </w:r>
      <w:r w:rsidR="00747CB7">
        <w:rPr>
          <w:rFonts w:ascii="Times New Roman" w:hAnsi="Times New Roman"/>
        </w:rPr>
        <w:t xml:space="preserve"> </w:t>
      </w:r>
      <w:r w:rsidR="00435CB2">
        <w:rPr>
          <w:rFonts w:ascii="Times New Roman" w:hAnsi="Times New Roman"/>
        </w:rPr>
        <w:t>the</w:t>
      </w:r>
      <w:r w:rsidR="00435CB2" w:rsidRPr="002B1B4E">
        <w:rPr>
          <w:rFonts w:ascii="Times New Roman" w:hAnsi="Times New Roman"/>
          <w:i/>
        </w:rPr>
        <w:t xml:space="preserve"> Non-Unanimous Stipulation and Agreement as to Class Cost of Service/Rate Design</w:t>
      </w:r>
      <w:r w:rsidR="00435CB2" w:rsidRPr="002B1B4E">
        <w:rPr>
          <w:rFonts w:ascii="Times New Roman" w:hAnsi="Times New Roman"/>
        </w:rPr>
        <w:t xml:space="preserve"> </w:t>
      </w:r>
      <w:r w:rsidR="005B0F26">
        <w:rPr>
          <w:rFonts w:ascii="Times New Roman" w:hAnsi="Times New Roman"/>
        </w:rPr>
        <w:t xml:space="preserve">which </w:t>
      </w:r>
      <w:r w:rsidR="00435CB2" w:rsidRPr="002B1B4E">
        <w:rPr>
          <w:rFonts w:ascii="Times New Roman" w:hAnsi="Times New Roman"/>
        </w:rPr>
        <w:t>was filed on the Commission website on February 4, 2011</w:t>
      </w:r>
      <w:r w:rsidR="00F63976">
        <w:rPr>
          <w:rFonts w:ascii="Times New Roman" w:hAnsi="Times New Roman"/>
        </w:rPr>
        <w:t>;</w:t>
      </w:r>
      <w:r w:rsidR="00435CB2">
        <w:rPr>
          <w:rFonts w:ascii="Times New Roman" w:hAnsi="Times New Roman"/>
        </w:rPr>
        <w:t xml:space="preserve">  </w:t>
      </w:r>
      <w:r w:rsidR="00435CB2" w:rsidRPr="002B1B4E">
        <w:rPr>
          <w:rFonts w:ascii="Times New Roman" w:hAnsi="Times New Roman"/>
        </w:rPr>
        <w:t xml:space="preserve">  </w:t>
      </w:r>
    </w:p>
    <w:p w:rsidR="00694C9D" w:rsidRDefault="00694C9D" w:rsidP="000C3D42">
      <w:pPr>
        <w:spacing w:line="480" w:lineRule="auto"/>
        <w:rPr>
          <w:rFonts w:ascii="Times New Roman" w:hAnsi="Times New Roman"/>
        </w:rPr>
      </w:pPr>
    </w:p>
    <w:p w:rsidR="00694C9D" w:rsidRDefault="00747CB7" w:rsidP="000C3D42">
      <w:pPr>
        <w:spacing w:line="480" w:lineRule="auto"/>
        <w:rPr>
          <w:rFonts w:ascii="Times New Roman" w:hAnsi="Times New Roman"/>
        </w:rPr>
      </w:pPr>
      <w:r w:rsidRPr="00747CB7">
        <w:rPr>
          <w:rFonts w:ascii="Times New Roman" w:hAnsi="Times New Roman"/>
        </w:rPr>
        <w:t xml:space="preserve">Finally, the Department would respectfully add that </w:t>
      </w:r>
      <w:r w:rsidR="00054D30" w:rsidRPr="00747CB7">
        <w:rPr>
          <w:rFonts w:ascii="Times New Roman" w:hAnsi="Times New Roman"/>
        </w:rPr>
        <w:t>Commission</w:t>
      </w:r>
      <w:r w:rsidR="005E3B76" w:rsidRPr="00747CB7">
        <w:rPr>
          <w:rFonts w:ascii="Times New Roman" w:hAnsi="Times New Roman"/>
        </w:rPr>
        <w:t xml:space="preserve"> Staff has been </w:t>
      </w:r>
      <w:r w:rsidR="003C6F29" w:rsidRPr="00747CB7">
        <w:rPr>
          <w:rFonts w:ascii="Times New Roman" w:hAnsi="Times New Roman"/>
        </w:rPr>
        <w:t xml:space="preserve">extraordinarily industrious, </w:t>
      </w:r>
      <w:r w:rsidR="005E3B76" w:rsidRPr="00747CB7">
        <w:rPr>
          <w:rFonts w:ascii="Times New Roman" w:hAnsi="Times New Roman"/>
        </w:rPr>
        <w:t>thorough</w:t>
      </w:r>
      <w:r w:rsidR="00694C9D">
        <w:rPr>
          <w:rFonts w:ascii="Times New Roman" w:hAnsi="Times New Roman"/>
        </w:rPr>
        <w:t>,</w:t>
      </w:r>
      <w:r w:rsidR="005E3B76" w:rsidRPr="00747CB7">
        <w:rPr>
          <w:rFonts w:ascii="Times New Roman" w:hAnsi="Times New Roman"/>
        </w:rPr>
        <w:t xml:space="preserve"> and sedulous in its work in this proceeding, and has </w:t>
      </w:r>
      <w:r w:rsidR="003C6F29" w:rsidRPr="00747CB7">
        <w:rPr>
          <w:rFonts w:ascii="Times New Roman" w:hAnsi="Times New Roman"/>
        </w:rPr>
        <w:t xml:space="preserve">thus enabled itself to </w:t>
      </w:r>
      <w:r w:rsidR="005E3B76" w:rsidRPr="00747CB7">
        <w:rPr>
          <w:rFonts w:ascii="Times New Roman" w:hAnsi="Times New Roman"/>
        </w:rPr>
        <w:t xml:space="preserve">present many very well-founded </w:t>
      </w:r>
      <w:r w:rsidR="003C6F29" w:rsidRPr="00747CB7">
        <w:rPr>
          <w:rFonts w:ascii="Times New Roman" w:hAnsi="Times New Roman"/>
        </w:rPr>
        <w:t xml:space="preserve">proposed adjustments to the Company’s revenue-related requests.  The Department urges the </w:t>
      </w:r>
      <w:r w:rsidR="00054D30" w:rsidRPr="00747CB7">
        <w:rPr>
          <w:rFonts w:ascii="Times New Roman" w:hAnsi="Times New Roman"/>
        </w:rPr>
        <w:t>Commission</w:t>
      </w:r>
      <w:r w:rsidR="003C6F29" w:rsidRPr="00747CB7">
        <w:rPr>
          <w:rFonts w:ascii="Times New Roman" w:hAnsi="Times New Roman"/>
        </w:rPr>
        <w:t xml:space="preserve"> to give all possible fair consideration to those </w:t>
      </w:r>
      <w:r w:rsidR="00694C9D">
        <w:rPr>
          <w:rFonts w:ascii="Times New Roman" w:hAnsi="Times New Roman"/>
        </w:rPr>
        <w:t xml:space="preserve">proposed </w:t>
      </w:r>
      <w:r w:rsidR="003C6F29" w:rsidRPr="00747CB7">
        <w:rPr>
          <w:rFonts w:ascii="Times New Roman" w:hAnsi="Times New Roman"/>
        </w:rPr>
        <w:t>adjustments.</w:t>
      </w:r>
    </w:p>
    <w:p w:rsidR="00694C9D" w:rsidRDefault="00694C9D" w:rsidP="000C3D42">
      <w:pPr>
        <w:spacing w:line="480" w:lineRule="auto"/>
        <w:rPr>
          <w:rFonts w:ascii="Times New Roman" w:hAnsi="Times New Roman"/>
        </w:rPr>
      </w:pPr>
    </w:p>
    <w:p w:rsidR="005E3B76" w:rsidRDefault="00FC3990" w:rsidP="000C3D42">
      <w:pPr>
        <w:spacing w:line="480" w:lineRule="auto"/>
        <w:rPr>
          <w:rFonts w:ascii="Times New Roman" w:hAnsi="Times New Roman"/>
        </w:rPr>
      </w:pPr>
      <w:r>
        <w:rPr>
          <w:rFonts w:ascii="Times New Roman" w:hAnsi="Times New Roman"/>
        </w:rPr>
        <w:t xml:space="preserve">                                                                       </w:t>
      </w:r>
      <w:r w:rsidR="00694C9D">
        <w:rPr>
          <w:rFonts w:ascii="Times New Roman" w:hAnsi="Times New Roman"/>
        </w:rPr>
        <w:t xml:space="preserve">Respectfully submitted, </w:t>
      </w:r>
      <w:r w:rsidR="003C6F29" w:rsidRPr="00747CB7">
        <w:rPr>
          <w:rFonts w:ascii="Times New Roman" w:hAnsi="Times New Roman"/>
        </w:rPr>
        <w:t xml:space="preserve">  </w:t>
      </w:r>
      <w:r w:rsidR="005E3B76" w:rsidRPr="00747CB7">
        <w:rPr>
          <w:rFonts w:ascii="Times New Roman" w:hAnsi="Times New Roman"/>
        </w:rPr>
        <w:t xml:space="preserve"> </w:t>
      </w:r>
    </w:p>
    <w:p w:rsidR="00FD4AAA" w:rsidRDefault="00FD4AAA" w:rsidP="000C3D42">
      <w:pPr>
        <w:spacing w:line="480" w:lineRule="auto"/>
        <w:rPr>
          <w:rFonts w:ascii="Times New Roman" w:hAnsi="Times New Roman"/>
        </w:rPr>
      </w:pPr>
    </w:p>
    <w:p w:rsidR="00FD4AAA" w:rsidRDefault="00FD4AAA" w:rsidP="000C3D42">
      <w:pPr>
        <w:spacing w:line="480" w:lineRule="auto"/>
        <w:rPr>
          <w:rFonts w:ascii="Times New Roman" w:hAnsi="Times New Roman"/>
        </w:rPr>
      </w:pPr>
    </w:p>
    <w:p w:rsidR="008A0472" w:rsidRDefault="008A0472" w:rsidP="000C3D42">
      <w:pPr>
        <w:spacing w:line="480" w:lineRule="auto"/>
        <w:rPr>
          <w:rFonts w:ascii="Times New Roman" w:hAnsi="Times New Roman"/>
        </w:rPr>
      </w:pPr>
    </w:p>
    <w:p w:rsidR="00FD4AAA" w:rsidRDefault="00FC3990" w:rsidP="008A0472">
      <w:pPr>
        <w:rPr>
          <w:rFonts w:ascii="Times New Roman" w:hAnsi="Times New Roman"/>
        </w:rPr>
      </w:pPr>
      <w:r>
        <w:rPr>
          <w:rFonts w:ascii="Times New Roman" w:hAnsi="Times New Roman"/>
        </w:rPr>
        <w:t xml:space="preserve">                                                                     </w:t>
      </w:r>
      <w:r w:rsidR="008A0472">
        <w:rPr>
          <w:rFonts w:ascii="Times New Roman" w:hAnsi="Times New Roman"/>
        </w:rPr>
        <w:t xml:space="preserve">   </w:t>
      </w:r>
      <w:r w:rsidR="002861ED">
        <w:rPr>
          <w:rFonts w:ascii="Times New Roman" w:hAnsi="Times New Roman"/>
        </w:rPr>
        <w:t xml:space="preserve"> </w:t>
      </w:r>
      <w:r w:rsidR="008A0472">
        <w:rPr>
          <w:rFonts w:ascii="Times New Roman" w:hAnsi="Times New Roman"/>
        </w:rPr>
        <w:t xml:space="preserve"> </w:t>
      </w:r>
      <w:r w:rsidR="00FD4AAA">
        <w:rPr>
          <w:rFonts w:ascii="Times New Roman" w:hAnsi="Times New Roman"/>
        </w:rPr>
        <w:t>Arthur Perry Bruder</w:t>
      </w:r>
    </w:p>
    <w:p w:rsidR="00FC3990" w:rsidRPr="00FC3990" w:rsidRDefault="008A0472" w:rsidP="008A0472">
      <w:pPr>
        <w:rPr>
          <w:rFonts w:ascii="Times New Roman" w:hAnsi="Times New Roman"/>
          <w:i/>
        </w:rPr>
      </w:pPr>
      <w:r>
        <w:rPr>
          <w:rFonts w:ascii="Times New Roman" w:hAnsi="Times New Roman"/>
          <w:i/>
        </w:rPr>
        <w:t xml:space="preserve">                                                                          </w:t>
      </w:r>
      <w:r w:rsidR="00FC3990">
        <w:rPr>
          <w:rFonts w:ascii="Times New Roman" w:hAnsi="Times New Roman"/>
          <w:i/>
        </w:rPr>
        <w:t>pro hac vice</w:t>
      </w:r>
    </w:p>
    <w:p w:rsidR="00D04353" w:rsidRDefault="008A0472" w:rsidP="008A0472">
      <w:pPr>
        <w:rPr>
          <w:rFonts w:ascii="Times New Roman" w:hAnsi="Times New Roman"/>
        </w:rPr>
      </w:pPr>
      <w:r>
        <w:rPr>
          <w:rFonts w:ascii="Times New Roman" w:hAnsi="Times New Roman"/>
        </w:rPr>
        <w:t xml:space="preserve">                                                                          </w:t>
      </w:r>
      <w:r w:rsidR="00FC3990">
        <w:rPr>
          <w:rFonts w:ascii="Times New Roman" w:hAnsi="Times New Roman"/>
        </w:rPr>
        <w:t>1000 Independence Ave. SW</w:t>
      </w:r>
    </w:p>
    <w:p w:rsidR="00FC3990" w:rsidRDefault="008A0472" w:rsidP="008A0472">
      <w:pPr>
        <w:rPr>
          <w:rFonts w:ascii="Times New Roman" w:hAnsi="Times New Roman"/>
        </w:rPr>
      </w:pPr>
      <w:r>
        <w:rPr>
          <w:rFonts w:ascii="Times New Roman" w:hAnsi="Times New Roman"/>
        </w:rPr>
        <w:t xml:space="preserve">                                                                          </w:t>
      </w:r>
      <w:r w:rsidR="00FC3990">
        <w:rPr>
          <w:rFonts w:ascii="Times New Roman" w:hAnsi="Times New Roman"/>
        </w:rPr>
        <w:t>Washington, DC 20585</w:t>
      </w:r>
    </w:p>
    <w:p w:rsidR="00FC3990" w:rsidRDefault="008A0472" w:rsidP="008A0472">
      <w:pPr>
        <w:rPr>
          <w:rFonts w:ascii="Times New Roman" w:hAnsi="Times New Roman"/>
        </w:rPr>
      </w:pPr>
      <w:r>
        <w:rPr>
          <w:rFonts w:ascii="Times New Roman" w:hAnsi="Times New Roman"/>
        </w:rPr>
        <w:t xml:space="preserve">                                                                          Voice: </w:t>
      </w:r>
      <w:r w:rsidR="00FC3990">
        <w:rPr>
          <w:rFonts w:ascii="Times New Roman" w:hAnsi="Times New Roman"/>
        </w:rPr>
        <w:t>(202 586-3409</w:t>
      </w:r>
    </w:p>
    <w:p w:rsidR="008A0472" w:rsidRDefault="008A0472" w:rsidP="008A0472">
      <w:pPr>
        <w:rPr>
          <w:rFonts w:ascii="Times New Roman" w:hAnsi="Times New Roman"/>
        </w:rPr>
      </w:pPr>
      <w:r>
        <w:rPr>
          <w:rFonts w:ascii="Times New Roman" w:hAnsi="Times New Roman"/>
        </w:rPr>
        <w:t xml:space="preserve">                                                                          Fax:     (202) 586-4116</w:t>
      </w:r>
    </w:p>
    <w:p w:rsidR="008A0472" w:rsidRDefault="008A0472" w:rsidP="008A0472">
      <w:pPr>
        <w:rPr>
          <w:rFonts w:ascii="Times New Roman" w:hAnsi="Times New Roman"/>
        </w:rPr>
      </w:pPr>
      <w:r>
        <w:rPr>
          <w:rFonts w:ascii="Times New Roman" w:hAnsi="Times New Roman"/>
        </w:rPr>
        <w:t xml:space="preserve">                                                                          Arthur.Bruder@hq.doe.gov</w:t>
      </w:r>
    </w:p>
    <w:p w:rsidR="008A0472" w:rsidRPr="008A0472" w:rsidRDefault="00394965" w:rsidP="008A0472">
      <w:pPr>
        <w:ind w:left="4320"/>
        <w:jc w:val="both"/>
        <w:rPr>
          <w:rFonts w:ascii="Times New Roman" w:hAnsi="Times New Roman"/>
        </w:rPr>
      </w:pPr>
      <w:r>
        <w:t xml:space="preserve">   </w:t>
      </w:r>
      <w:r w:rsidR="008A0472" w:rsidRPr="008A0472">
        <w:rPr>
          <w:rFonts w:ascii="Times New Roman" w:hAnsi="Times New Roman"/>
        </w:rPr>
        <w:t>A</w:t>
      </w:r>
      <w:r w:rsidR="008A0472">
        <w:rPr>
          <w:rFonts w:ascii="Times New Roman" w:hAnsi="Times New Roman"/>
        </w:rPr>
        <w:t xml:space="preserve">ttorney for </w:t>
      </w:r>
      <w:r>
        <w:rPr>
          <w:rFonts w:ascii="Times New Roman" w:hAnsi="Times New Roman"/>
        </w:rPr>
        <w:t>U. S. Department of Energy</w:t>
      </w:r>
    </w:p>
    <w:p w:rsidR="008A0472" w:rsidRPr="008A0472" w:rsidRDefault="002861ED" w:rsidP="008A0472">
      <w:pPr>
        <w:ind w:left="4320"/>
        <w:jc w:val="both"/>
        <w:rPr>
          <w:rFonts w:ascii="Times New Roman" w:hAnsi="Times New Roman"/>
        </w:rPr>
      </w:pPr>
      <w:r>
        <w:rPr>
          <w:rFonts w:ascii="Times New Roman" w:hAnsi="Times New Roman"/>
        </w:rPr>
        <w:t xml:space="preserve">  </w:t>
      </w:r>
      <w:r w:rsidR="008A0472">
        <w:rPr>
          <w:rFonts w:ascii="Times New Roman" w:hAnsi="Times New Roman"/>
        </w:rPr>
        <w:t xml:space="preserve"> </w:t>
      </w:r>
    </w:p>
    <w:p w:rsidR="00D04353" w:rsidRDefault="00D04353" w:rsidP="00D04353">
      <w:pPr>
        <w:ind w:left="5040"/>
      </w:pPr>
    </w:p>
    <w:p w:rsidR="00D04353" w:rsidRDefault="00D04353" w:rsidP="000C3D42">
      <w:pPr>
        <w:spacing w:line="480" w:lineRule="auto"/>
        <w:rPr>
          <w:rFonts w:ascii="Times New Roman" w:hAnsi="Times New Roman"/>
        </w:rPr>
      </w:pPr>
    </w:p>
    <w:p w:rsidR="00D56AD9" w:rsidRDefault="00D56AD9" w:rsidP="000C3D42">
      <w:pPr>
        <w:spacing w:line="480" w:lineRule="auto"/>
        <w:rPr>
          <w:rFonts w:ascii="Times New Roman" w:hAnsi="Times New Roman"/>
        </w:rPr>
      </w:pPr>
    </w:p>
    <w:p w:rsidR="00D56AD9" w:rsidRDefault="00D56AD9" w:rsidP="000C3D42">
      <w:pPr>
        <w:spacing w:line="480" w:lineRule="auto"/>
        <w:rPr>
          <w:rFonts w:ascii="Times New Roman" w:hAnsi="Times New Roman"/>
        </w:rPr>
      </w:pPr>
    </w:p>
    <w:p w:rsidR="00D56AD9" w:rsidRDefault="00D56AD9" w:rsidP="000C3D42">
      <w:pPr>
        <w:spacing w:line="480" w:lineRule="auto"/>
        <w:rPr>
          <w:rFonts w:ascii="Times New Roman" w:hAnsi="Times New Roman"/>
        </w:rPr>
      </w:pPr>
    </w:p>
    <w:p w:rsidR="00D56AD9" w:rsidRDefault="00D56AD9" w:rsidP="000C3D42">
      <w:pPr>
        <w:spacing w:line="480" w:lineRule="auto"/>
        <w:rPr>
          <w:rFonts w:ascii="Times New Roman" w:hAnsi="Times New Roman"/>
        </w:rPr>
      </w:pPr>
    </w:p>
    <w:p w:rsidR="00D56AD9" w:rsidRDefault="00D56AD9" w:rsidP="000C3D42">
      <w:pPr>
        <w:spacing w:line="480" w:lineRule="auto"/>
        <w:rPr>
          <w:rFonts w:ascii="Times New Roman" w:hAnsi="Times New Roman"/>
        </w:rPr>
      </w:pPr>
    </w:p>
    <w:p w:rsidR="00D56AD9" w:rsidRDefault="00D56AD9" w:rsidP="000C3D42">
      <w:pPr>
        <w:spacing w:line="480" w:lineRule="auto"/>
        <w:rPr>
          <w:rFonts w:ascii="Times New Roman" w:hAnsi="Times New Roman"/>
        </w:rPr>
      </w:pPr>
    </w:p>
    <w:p w:rsidR="00D56AD9" w:rsidRDefault="00D56AD9" w:rsidP="000C3D42">
      <w:pPr>
        <w:spacing w:line="480" w:lineRule="auto"/>
        <w:rPr>
          <w:rFonts w:ascii="Times New Roman" w:hAnsi="Times New Roman"/>
        </w:rPr>
      </w:pPr>
    </w:p>
    <w:p w:rsidR="00D56AD9" w:rsidRDefault="00D56AD9" w:rsidP="000C3D42">
      <w:pPr>
        <w:spacing w:line="480" w:lineRule="auto"/>
        <w:rPr>
          <w:rFonts w:ascii="Times New Roman" w:hAnsi="Times New Roman"/>
        </w:rPr>
      </w:pPr>
    </w:p>
    <w:p w:rsidR="00D56AD9" w:rsidRDefault="00D56AD9" w:rsidP="000C3D42">
      <w:pPr>
        <w:spacing w:line="480" w:lineRule="auto"/>
        <w:rPr>
          <w:rFonts w:ascii="Times New Roman" w:hAnsi="Times New Roman"/>
        </w:rPr>
      </w:pPr>
    </w:p>
    <w:p w:rsidR="00D56AD9" w:rsidRDefault="00D56AD9" w:rsidP="00D56AD9">
      <w:pPr>
        <w:jc w:val="center"/>
        <w:rPr>
          <w:b/>
        </w:rPr>
      </w:pPr>
      <w:r>
        <w:rPr>
          <w:u w:val="single"/>
        </w:rPr>
        <w:t>CERTIFICATE OF SERVICE</w:t>
      </w:r>
    </w:p>
    <w:p w:rsidR="00D56AD9" w:rsidRDefault="00D56AD9" w:rsidP="00D56AD9">
      <w:pPr>
        <w:tabs>
          <w:tab w:val="left" w:pos="0"/>
        </w:tabs>
        <w:jc w:val="center"/>
        <w:rPr>
          <w:b/>
        </w:rPr>
      </w:pPr>
    </w:p>
    <w:p w:rsidR="00D56AD9" w:rsidRDefault="00D56AD9" w:rsidP="00D56AD9">
      <w:pPr>
        <w:tabs>
          <w:tab w:val="left" w:pos="0"/>
        </w:tabs>
        <w:jc w:val="both"/>
      </w:pPr>
      <w:r>
        <w:t>I HEREBY CERTIFY that I have this day filed the foregoing Initial Brief of the United States Department of Energy on the website of the Missouri Public Service Commission in accordance with all applicable procedures, and emailed a copy of the same to the Administrative Law Judge and to all of the parties by their attorneys of record.</w:t>
      </w:r>
    </w:p>
    <w:p w:rsidR="00D56AD9" w:rsidRDefault="00D56AD9" w:rsidP="00D56AD9">
      <w:pPr>
        <w:tabs>
          <w:tab w:val="left" w:pos="0"/>
        </w:tabs>
        <w:jc w:val="both"/>
      </w:pPr>
    </w:p>
    <w:p w:rsidR="00D56AD9" w:rsidRDefault="00D56AD9" w:rsidP="00D56AD9">
      <w:pPr>
        <w:tabs>
          <w:tab w:val="left" w:pos="0"/>
        </w:tabs>
        <w:jc w:val="both"/>
      </w:pPr>
    </w:p>
    <w:p w:rsidR="00D56AD9" w:rsidRDefault="00D56AD9" w:rsidP="00D56AD9">
      <w:pPr>
        <w:tabs>
          <w:tab w:val="left" w:pos="0"/>
        </w:tabs>
        <w:jc w:val="both"/>
      </w:pPr>
      <w:r>
        <w:tab/>
      </w:r>
      <w:r>
        <w:tab/>
      </w:r>
      <w:r>
        <w:tab/>
      </w:r>
      <w:r>
        <w:tab/>
      </w:r>
      <w:r>
        <w:tab/>
      </w:r>
      <w:r>
        <w:tab/>
      </w:r>
    </w:p>
    <w:p w:rsidR="00D56AD9" w:rsidRDefault="00D56AD9" w:rsidP="00D56AD9">
      <w:pPr>
        <w:tabs>
          <w:tab w:val="left" w:pos="0"/>
        </w:tabs>
        <w:jc w:val="both"/>
      </w:pPr>
      <w:r>
        <w:tab/>
      </w:r>
      <w:r>
        <w:tab/>
      </w:r>
      <w:r>
        <w:tab/>
      </w:r>
      <w:r>
        <w:tab/>
      </w:r>
      <w:r>
        <w:tab/>
      </w:r>
      <w:r>
        <w:tab/>
        <w:t>Arthur Perry Bruderl</w:t>
      </w:r>
    </w:p>
    <w:p w:rsidR="00D56AD9" w:rsidRDefault="00D56AD9" w:rsidP="00D56AD9">
      <w:pPr>
        <w:tabs>
          <w:tab w:val="left" w:pos="0"/>
        </w:tabs>
        <w:jc w:val="both"/>
      </w:pPr>
    </w:p>
    <w:p w:rsidR="00D56AD9" w:rsidRPr="00F52F5A" w:rsidRDefault="00D56AD9" w:rsidP="00D56AD9">
      <w:pPr>
        <w:spacing w:line="480" w:lineRule="auto"/>
        <w:jc w:val="both"/>
      </w:pPr>
      <w:r>
        <w:t>Dated: March 10, 2011</w:t>
      </w:r>
    </w:p>
    <w:p w:rsidR="00D56AD9" w:rsidRDefault="00D56AD9" w:rsidP="000C3D42">
      <w:pPr>
        <w:spacing w:line="480" w:lineRule="auto"/>
        <w:rPr>
          <w:rFonts w:ascii="Times New Roman" w:hAnsi="Times New Roman"/>
        </w:rPr>
      </w:pPr>
    </w:p>
    <w:sectPr w:rsidR="00D56AD9" w:rsidSect="00C0650B">
      <w:headerReference w:type="default" r:id="rId9"/>
      <w:footerReference w:type="default" r:id="rId10"/>
      <w:pgSz w:w="12240" w:h="15840"/>
      <w:pgMar w:top="99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934" w:rsidRDefault="006B3934" w:rsidP="00A57DA6">
      <w:r>
        <w:separator/>
      </w:r>
    </w:p>
  </w:endnote>
  <w:endnote w:type="continuationSeparator" w:id="0">
    <w:p w:rsidR="006B3934" w:rsidRDefault="006B3934" w:rsidP="00A57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8863"/>
      <w:docPartObj>
        <w:docPartGallery w:val="Page Numbers (Bottom of Page)"/>
        <w:docPartUnique/>
      </w:docPartObj>
    </w:sdtPr>
    <w:sdtContent>
      <w:p w:rsidR="006B3934" w:rsidRDefault="006B3934">
        <w:pPr>
          <w:pStyle w:val="Footer"/>
        </w:pPr>
        <w:fldSimple w:instr=" PAGE   \* MERGEFORMAT ">
          <w:r w:rsidR="00C50FE5">
            <w:rPr>
              <w:noProof/>
            </w:rPr>
            <w:t>0</w:t>
          </w:r>
        </w:fldSimple>
      </w:p>
    </w:sdtContent>
  </w:sdt>
  <w:p w:rsidR="006B3934" w:rsidRDefault="006B3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934" w:rsidRDefault="006B3934" w:rsidP="00A57DA6">
      <w:r>
        <w:separator/>
      </w:r>
    </w:p>
  </w:footnote>
  <w:footnote w:type="continuationSeparator" w:id="0">
    <w:p w:rsidR="006B3934" w:rsidRDefault="006B3934" w:rsidP="00A57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4" w:rsidRDefault="006B3934">
    <w:pPr>
      <w:pStyle w:val="Header"/>
    </w:pPr>
  </w:p>
  <w:p w:rsidR="006B3934" w:rsidRDefault="006B39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30153"/>
    <w:multiLevelType w:val="hybridMultilevel"/>
    <w:tmpl w:val="C594749A"/>
    <w:lvl w:ilvl="0" w:tplc="F6E0A11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comments="0"/>
  <w:defaultTabStop w:val="720"/>
  <w:characterSpacingControl w:val="doNotCompress"/>
  <w:footnotePr>
    <w:footnote w:id="-1"/>
    <w:footnote w:id="0"/>
  </w:footnotePr>
  <w:endnotePr>
    <w:endnote w:id="-1"/>
    <w:endnote w:id="0"/>
  </w:endnotePr>
  <w:compat/>
  <w:rsids>
    <w:rsidRoot w:val="000C3D42"/>
    <w:rsid w:val="00012DA4"/>
    <w:rsid w:val="00026EB4"/>
    <w:rsid w:val="00054D30"/>
    <w:rsid w:val="000A6CBF"/>
    <w:rsid w:val="000A7849"/>
    <w:rsid w:val="000B75E6"/>
    <w:rsid w:val="000C3D42"/>
    <w:rsid w:val="000C4888"/>
    <w:rsid w:val="000E3279"/>
    <w:rsid w:val="000F7601"/>
    <w:rsid w:val="001015EB"/>
    <w:rsid w:val="0011411E"/>
    <w:rsid w:val="001270DE"/>
    <w:rsid w:val="00136236"/>
    <w:rsid w:val="001B54DB"/>
    <w:rsid w:val="001C689A"/>
    <w:rsid w:val="001E1BD2"/>
    <w:rsid w:val="001F3FE9"/>
    <w:rsid w:val="001F63E1"/>
    <w:rsid w:val="001F673A"/>
    <w:rsid w:val="0020072F"/>
    <w:rsid w:val="0020324B"/>
    <w:rsid w:val="00250921"/>
    <w:rsid w:val="002511D3"/>
    <w:rsid w:val="00284AF9"/>
    <w:rsid w:val="002861ED"/>
    <w:rsid w:val="002A046F"/>
    <w:rsid w:val="002E6051"/>
    <w:rsid w:val="002F3D78"/>
    <w:rsid w:val="00324B62"/>
    <w:rsid w:val="003502A6"/>
    <w:rsid w:val="00361982"/>
    <w:rsid w:val="00373E58"/>
    <w:rsid w:val="00375592"/>
    <w:rsid w:val="00393445"/>
    <w:rsid w:val="00394965"/>
    <w:rsid w:val="003B65EC"/>
    <w:rsid w:val="003C6F29"/>
    <w:rsid w:val="003E26ED"/>
    <w:rsid w:val="003E2D79"/>
    <w:rsid w:val="00435CB2"/>
    <w:rsid w:val="0047355A"/>
    <w:rsid w:val="00492CB9"/>
    <w:rsid w:val="00494D10"/>
    <w:rsid w:val="004A4A86"/>
    <w:rsid w:val="004A6CB8"/>
    <w:rsid w:val="004C06CC"/>
    <w:rsid w:val="004C35F2"/>
    <w:rsid w:val="00547654"/>
    <w:rsid w:val="00553B3F"/>
    <w:rsid w:val="00576B5E"/>
    <w:rsid w:val="005900FC"/>
    <w:rsid w:val="005A0795"/>
    <w:rsid w:val="005B0F26"/>
    <w:rsid w:val="005B126F"/>
    <w:rsid w:val="005B3F69"/>
    <w:rsid w:val="005B6540"/>
    <w:rsid w:val="005E3B76"/>
    <w:rsid w:val="005E7E80"/>
    <w:rsid w:val="00612574"/>
    <w:rsid w:val="00661FF7"/>
    <w:rsid w:val="00663554"/>
    <w:rsid w:val="00687F3B"/>
    <w:rsid w:val="00694C9D"/>
    <w:rsid w:val="00697678"/>
    <w:rsid w:val="006B3934"/>
    <w:rsid w:val="006B7C74"/>
    <w:rsid w:val="006C3551"/>
    <w:rsid w:val="006E625B"/>
    <w:rsid w:val="006F4613"/>
    <w:rsid w:val="006F6988"/>
    <w:rsid w:val="00706041"/>
    <w:rsid w:val="0074075D"/>
    <w:rsid w:val="00747CB7"/>
    <w:rsid w:val="007555EE"/>
    <w:rsid w:val="007622E9"/>
    <w:rsid w:val="00790448"/>
    <w:rsid w:val="007B5DF9"/>
    <w:rsid w:val="007C22A9"/>
    <w:rsid w:val="0080608D"/>
    <w:rsid w:val="008227DB"/>
    <w:rsid w:val="00843EC9"/>
    <w:rsid w:val="00846FDD"/>
    <w:rsid w:val="00854838"/>
    <w:rsid w:val="00855073"/>
    <w:rsid w:val="0086074C"/>
    <w:rsid w:val="008652B0"/>
    <w:rsid w:val="008A0472"/>
    <w:rsid w:val="008F43DF"/>
    <w:rsid w:val="0093767F"/>
    <w:rsid w:val="0094477F"/>
    <w:rsid w:val="00970C3C"/>
    <w:rsid w:val="0099563D"/>
    <w:rsid w:val="009963A1"/>
    <w:rsid w:val="009A69F7"/>
    <w:rsid w:val="009A75FC"/>
    <w:rsid w:val="009C64F0"/>
    <w:rsid w:val="009E4A9D"/>
    <w:rsid w:val="00A00627"/>
    <w:rsid w:val="00A131A1"/>
    <w:rsid w:val="00A21D42"/>
    <w:rsid w:val="00A26DB5"/>
    <w:rsid w:val="00A27B38"/>
    <w:rsid w:val="00A57DA6"/>
    <w:rsid w:val="00A70129"/>
    <w:rsid w:val="00A7255B"/>
    <w:rsid w:val="00AE7C13"/>
    <w:rsid w:val="00AF43AE"/>
    <w:rsid w:val="00B37E79"/>
    <w:rsid w:val="00B534D2"/>
    <w:rsid w:val="00B61192"/>
    <w:rsid w:val="00BB252C"/>
    <w:rsid w:val="00BE404E"/>
    <w:rsid w:val="00BE4E43"/>
    <w:rsid w:val="00C00A31"/>
    <w:rsid w:val="00C0650B"/>
    <w:rsid w:val="00C20DA2"/>
    <w:rsid w:val="00C50FE5"/>
    <w:rsid w:val="00C71367"/>
    <w:rsid w:val="00C71B34"/>
    <w:rsid w:val="00C771A7"/>
    <w:rsid w:val="00C811F3"/>
    <w:rsid w:val="00CA5230"/>
    <w:rsid w:val="00CB66B7"/>
    <w:rsid w:val="00CB7753"/>
    <w:rsid w:val="00CC5099"/>
    <w:rsid w:val="00CC620A"/>
    <w:rsid w:val="00CE2ABA"/>
    <w:rsid w:val="00CE79DF"/>
    <w:rsid w:val="00D04353"/>
    <w:rsid w:val="00D56AD9"/>
    <w:rsid w:val="00D57314"/>
    <w:rsid w:val="00D6456E"/>
    <w:rsid w:val="00D94C45"/>
    <w:rsid w:val="00DC2066"/>
    <w:rsid w:val="00DE6493"/>
    <w:rsid w:val="00DF4FAC"/>
    <w:rsid w:val="00E22FD1"/>
    <w:rsid w:val="00E26EE1"/>
    <w:rsid w:val="00E321A3"/>
    <w:rsid w:val="00E94DB9"/>
    <w:rsid w:val="00EC67F0"/>
    <w:rsid w:val="00F21C61"/>
    <w:rsid w:val="00F35AEF"/>
    <w:rsid w:val="00F541A5"/>
    <w:rsid w:val="00F605CB"/>
    <w:rsid w:val="00F63976"/>
    <w:rsid w:val="00F91F5D"/>
    <w:rsid w:val="00F934B0"/>
    <w:rsid w:val="00FC3990"/>
    <w:rsid w:val="00FD4AAA"/>
    <w:rsid w:val="00FE3DDC"/>
    <w:rsid w:val="00FE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9D"/>
    <w:pPr>
      <w:spacing w:after="0" w:line="240" w:lineRule="auto"/>
    </w:pPr>
    <w:rPr>
      <w:sz w:val="24"/>
      <w:szCs w:val="24"/>
    </w:rPr>
  </w:style>
  <w:style w:type="paragraph" w:styleId="Heading1">
    <w:name w:val="heading 1"/>
    <w:basedOn w:val="Normal"/>
    <w:next w:val="Normal"/>
    <w:link w:val="Heading1Char"/>
    <w:uiPriority w:val="9"/>
    <w:qFormat/>
    <w:rsid w:val="00492CB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92CB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2CB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2CB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2CB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2CB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2CB9"/>
    <w:pPr>
      <w:spacing w:before="240" w:after="60"/>
      <w:outlineLvl w:val="6"/>
    </w:pPr>
  </w:style>
  <w:style w:type="paragraph" w:styleId="Heading8">
    <w:name w:val="heading 8"/>
    <w:basedOn w:val="Normal"/>
    <w:next w:val="Normal"/>
    <w:link w:val="Heading8Char"/>
    <w:uiPriority w:val="9"/>
    <w:semiHidden/>
    <w:unhideWhenUsed/>
    <w:qFormat/>
    <w:rsid w:val="00492CB9"/>
    <w:pPr>
      <w:spacing w:before="240" w:after="60"/>
      <w:outlineLvl w:val="7"/>
    </w:pPr>
    <w:rPr>
      <w:i/>
      <w:iCs/>
    </w:rPr>
  </w:style>
  <w:style w:type="paragraph" w:styleId="Heading9">
    <w:name w:val="heading 9"/>
    <w:basedOn w:val="Normal"/>
    <w:next w:val="Normal"/>
    <w:link w:val="Heading9Char"/>
    <w:uiPriority w:val="9"/>
    <w:semiHidden/>
    <w:unhideWhenUsed/>
    <w:qFormat/>
    <w:rsid w:val="00492CB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CB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92CB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2CB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2CB9"/>
    <w:rPr>
      <w:b/>
      <w:bCs/>
      <w:sz w:val="28"/>
      <w:szCs w:val="28"/>
    </w:rPr>
  </w:style>
  <w:style w:type="character" w:customStyle="1" w:styleId="Heading5Char">
    <w:name w:val="Heading 5 Char"/>
    <w:basedOn w:val="DefaultParagraphFont"/>
    <w:link w:val="Heading5"/>
    <w:uiPriority w:val="9"/>
    <w:semiHidden/>
    <w:rsid w:val="00492CB9"/>
    <w:rPr>
      <w:b/>
      <w:bCs/>
      <w:i/>
      <w:iCs/>
      <w:sz w:val="26"/>
      <w:szCs w:val="26"/>
    </w:rPr>
  </w:style>
  <w:style w:type="character" w:customStyle="1" w:styleId="Heading6Char">
    <w:name w:val="Heading 6 Char"/>
    <w:basedOn w:val="DefaultParagraphFont"/>
    <w:link w:val="Heading6"/>
    <w:uiPriority w:val="9"/>
    <w:semiHidden/>
    <w:rsid w:val="00492CB9"/>
    <w:rPr>
      <w:b/>
      <w:bCs/>
    </w:rPr>
  </w:style>
  <w:style w:type="character" w:customStyle="1" w:styleId="Heading7Char">
    <w:name w:val="Heading 7 Char"/>
    <w:basedOn w:val="DefaultParagraphFont"/>
    <w:link w:val="Heading7"/>
    <w:uiPriority w:val="9"/>
    <w:semiHidden/>
    <w:rsid w:val="00492CB9"/>
    <w:rPr>
      <w:sz w:val="24"/>
      <w:szCs w:val="24"/>
    </w:rPr>
  </w:style>
  <w:style w:type="character" w:customStyle="1" w:styleId="Heading8Char">
    <w:name w:val="Heading 8 Char"/>
    <w:basedOn w:val="DefaultParagraphFont"/>
    <w:link w:val="Heading8"/>
    <w:uiPriority w:val="9"/>
    <w:semiHidden/>
    <w:rsid w:val="00492CB9"/>
    <w:rPr>
      <w:i/>
      <w:iCs/>
      <w:sz w:val="24"/>
      <w:szCs w:val="24"/>
    </w:rPr>
  </w:style>
  <w:style w:type="character" w:customStyle="1" w:styleId="Heading9Char">
    <w:name w:val="Heading 9 Char"/>
    <w:basedOn w:val="DefaultParagraphFont"/>
    <w:link w:val="Heading9"/>
    <w:uiPriority w:val="9"/>
    <w:semiHidden/>
    <w:rsid w:val="00492CB9"/>
    <w:rPr>
      <w:rFonts w:asciiTheme="majorHAnsi" w:eastAsiaTheme="majorEastAsia" w:hAnsiTheme="majorHAnsi"/>
    </w:rPr>
  </w:style>
  <w:style w:type="paragraph" w:styleId="Title">
    <w:name w:val="Title"/>
    <w:basedOn w:val="Normal"/>
    <w:next w:val="Normal"/>
    <w:link w:val="TitleChar"/>
    <w:uiPriority w:val="10"/>
    <w:qFormat/>
    <w:rsid w:val="00492CB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2CB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2CB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2CB9"/>
    <w:rPr>
      <w:rFonts w:asciiTheme="majorHAnsi" w:eastAsiaTheme="majorEastAsia" w:hAnsiTheme="majorHAnsi"/>
      <w:sz w:val="24"/>
      <w:szCs w:val="24"/>
    </w:rPr>
  </w:style>
  <w:style w:type="character" w:styleId="Strong">
    <w:name w:val="Strong"/>
    <w:basedOn w:val="DefaultParagraphFont"/>
    <w:uiPriority w:val="22"/>
    <w:qFormat/>
    <w:rsid w:val="00492CB9"/>
    <w:rPr>
      <w:b/>
      <w:bCs/>
    </w:rPr>
  </w:style>
  <w:style w:type="character" w:styleId="Emphasis">
    <w:name w:val="Emphasis"/>
    <w:basedOn w:val="DefaultParagraphFont"/>
    <w:uiPriority w:val="20"/>
    <w:qFormat/>
    <w:rsid w:val="00492CB9"/>
    <w:rPr>
      <w:rFonts w:asciiTheme="minorHAnsi" w:hAnsiTheme="minorHAnsi"/>
      <w:b/>
      <w:i/>
      <w:iCs/>
    </w:rPr>
  </w:style>
  <w:style w:type="paragraph" w:styleId="NoSpacing">
    <w:name w:val="No Spacing"/>
    <w:basedOn w:val="Normal"/>
    <w:uiPriority w:val="1"/>
    <w:qFormat/>
    <w:rsid w:val="00492CB9"/>
    <w:rPr>
      <w:szCs w:val="32"/>
    </w:rPr>
  </w:style>
  <w:style w:type="paragraph" w:styleId="ListParagraph">
    <w:name w:val="List Paragraph"/>
    <w:basedOn w:val="Normal"/>
    <w:uiPriority w:val="34"/>
    <w:qFormat/>
    <w:rsid w:val="00492CB9"/>
    <w:pPr>
      <w:ind w:left="720"/>
      <w:contextualSpacing/>
    </w:pPr>
  </w:style>
  <w:style w:type="paragraph" w:styleId="Quote">
    <w:name w:val="Quote"/>
    <w:basedOn w:val="Normal"/>
    <w:next w:val="Normal"/>
    <w:link w:val="QuoteChar"/>
    <w:uiPriority w:val="29"/>
    <w:qFormat/>
    <w:rsid w:val="00492CB9"/>
    <w:rPr>
      <w:i/>
    </w:rPr>
  </w:style>
  <w:style w:type="character" w:customStyle="1" w:styleId="QuoteChar">
    <w:name w:val="Quote Char"/>
    <w:basedOn w:val="DefaultParagraphFont"/>
    <w:link w:val="Quote"/>
    <w:uiPriority w:val="29"/>
    <w:rsid w:val="00492CB9"/>
    <w:rPr>
      <w:i/>
      <w:sz w:val="24"/>
      <w:szCs w:val="24"/>
    </w:rPr>
  </w:style>
  <w:style w:type="paragraph" w:styleId="IntenseQuote">
    <w:name w:val="Intense Quote"/>
    <w:basedOn w:val="Normal"/>
    <w:next w:val="Normal"/>
    <w:link w:val="IntenseQuoteChar"/>
    <w:uiPriority w:val="30"/>
    <w:qFormat/>
    <w:rsid w:val="00492CB9"/>
    <w:pPr>
      <w:ind w:left="720" w:right="720"/>
    </w:pPr>
    <w:rPr>
      <w:b/>
      <w:i/>
      <w:szCs w:val="22"/>
    </w:rPr>
  </w:style>
  <w:style w:type="character" w:customStyle="1" w:styleId="IntenseQuoteChar">
    <w:name w:val="Intense Quote Char"/>
    <w:basedOn w:val="DefaultParagraphFont"/>
    <w:link w:val="IntenseQuote"/>
    <w:uiPriority w:val="30"/>
    <w:rsid w:val="00492CB9"/>
    <w:rPr>
      <w:b/>
      <w:i/>
      <w:sz w:val="24"/>
    </w:rPr>
  </w:style>
  <w:style w:type="character" w:styleId="SubtleEmphasis">
    <w:name w:val="Subtle Emphasis"/>
    <w:uiPriority w:val="19"/>
    <w:qFormat/>
    <w:rsid w:val="00492CB9"/>
    <w:rPr>
      <w:i/>
      <w:color w:val="5A5A5A" w:themeColor="text1" w:themeTint="A5"/>
    </w:rPr>
  </w:style>
  <w:style w:type="character" w:styleId="IntenseEmphasis">
    <w:name w:val="Intense Emphasis"/>
    <w:basedOn w:val="DefaultParagraphFont"/>
    <w:uiPriority w:val="21"/>
    <w:qFormat/>
    <w:rsid w:val="00492CB9"/>
    <w:rPr>
      <w:b/>
      <w:i/>
      <w:sz w:val="24"/>
      <w:szCs w:val="24"/>
      <w:u w:val="single"/>
    </w:rPr>
  </w:style>
  <w:style w:type="character" w:styleId="SubtleReference">
    <w:name w:val="Subtle Reference"/>
    <w:basedOn w:val="DefaultParagraphFont"/>
    <w:uiPriority w:val="31"/>
    <w:qFormat/>
    <w:rsid w:val="00492CB9"/>
    <w:rPr>
      <w:sz w:val="24"/>
      <w:szCs w:val="24"/>
      <w:u w:val="single"/>
    </w:rPr>
  </w:style>
  <w:style w:type="character" w:styleId="IntenseReference">
    <w:name w:val="Intense Reference"/>
    <w:basedOn w:val="DefaultParagraphFont"/>
    <w:uiPriority w:val="32"/>
    <w:qFormat/>
    <w:rsid w:val="00492CB9"/>
    <w:rPr>
      <w:b/>
      <w:sz w:val="24"/>
      <w:u w:val="single"/>
    </w:rPr>
  </w:style>
  <w:style w:type="character" w:styleId="BookTitle">
    <w:name w:val="Book Title"/>
    <w:basedOn w:val="DefaultParagraphFont"/>
    <w:uiPriority w:val="33"/>
    <w:qFormat/>
    <w:rsid w:val="00492C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2CB9"/>
    <w:pPr>
      <w:outlineLvl w:val="9"/>
    </w:pPr>
  </w:style>
  <w:style w:type="paragraph" w:styleId="Header">
    <w:name w:val="header"/>
    <w:basedOn w:val="Normal"/>
    <w:link w:val="HeaderChar"/>
    <w:uiPriority w:val="99"/>
    <w:unhideWhenUsed/>
    <w:rsid w:val="000C3D42"/>
    <w:pPr>
      <w:tabs>
        <w:tab w:val="center" w:pos="4680"/>
        <w:tab w:val="right" w:pos="9360"/>
      </w:tabs>
    </w:pPr>
    <w:rPr>
      <w:rFonts w:cstheme="minorBidi"/>
      <w:sz w:val="22"/>
      <w:szCs w:val="22"/>
      <w:lang w:bidi="ar-SA"/>
    </w:rPr>
  </w:style>
  <w:style w:type="character" w:customStyle="1" w:styleId="HeaderChar">
    <w:name w:val="Header Char"/>
    <w:basedOn w:val="DefaultParagraphFont"/>
    <w:link w:val="Header"/>
    <w:uiPriority w:val="99"/>
    <w:rsid w:val="000C3D42"/>
    <w:rPr>
      <w:rFonts w:cstheme="minorBidi"/>
      <w:lang w:bidi="ar-SA"/>
    </w:rPr>
  </w:style>
  <w:style w:type="paragraph" w:styleId="Footer">
    <w:name w:val="footer"/>
    <w:basedOn w:val="Normal"/>
    <w:link w:val="FooterChar"/>
    <w:uiPriority w:val="99"/>
    <w:unhideWhenUsed/>
    <w:rsid w:val="0047355A"/>
    <w:pPr>
      <w:tabs>
        <w:tab w:val="center" w:pos="4680"/>
        <w:tab w:val="right" w:pos="9360"/>
      </w:tabs>
    </w:pPr>
  </w:style>
  <w:style w:type="character" w:customStyle="1" w:styleId="FooterChar">
    <w:name w:val="Footer Char"/>
    <w:basedOn w:val="DefaultParagraphFont"/>
    <w:link w:val="Footer"/>
    <w:uiPriority w:val="99"/>
    <w:rsid w:val="0047355A"/>
    <w:rPr>
      <w:sz w:val="24"/>
      <w:szCs w:val="24"/>
    </w:rPr>
  </w:style>
  <w:style w:type="character" w:styleId="CommentReference">
    <w:name w:val="annotation reference"/>
    <w:basedOn w:val="DefaultParagraphFont"/>
    <w:uiPriority w:val="99"/>
    <w:semiHidden/>
    <w:unhideWhenUsed/>
    <w:rsid w:val="00F541A5"/>
    <w:rPr>
      <w:sz w:val="16"/>
      <w:szCs w:val="16"/>
    </w:rPr>
  </w:style>
  <w:style w:type="paragraph" w:styleId="CommentText">
    <w:name w:val="annotation text"/>
    <w:basedOn w:val="Normal"/>
    <w:link w:val="CommentTextChar"/>
    <w:uiPriority w:val="99"/>
    <w:semiHidden/>
    <w:unhideWhenUsed/>
    <w:rsid w:val="00F541A5"/>
    <w:rPr>
      <w:sz w:val="20"/>
      <w:szCs w:val="20"/>
    </w:rPr>
  </w:style>
  <w:style w:type="character" w:customStyle="1" w:styleId="CommentTextChar">
    <w:name w:val="Comment Text Char"/>
    <w:basedOn w:val="DefaultParagraphFont"/>
    <w:link w:val="CommentText"/>
    <w:uiPriority w:val="99"/>
    <w:semiHidden/>
    <w:rsid w:val="00F541A5"/>
    <w:rPr>
      <w:sz w:val="20"/>
      <w:szCs w:val="20"/>
    </w:rPr>
  </w:style>
  <w:style w:type="paragraph" w:styleId="CommentSubject">
    <w:name w:val="annotation subject"/>
    <w:basedOn w:val="CommentText"/>
    <w:next w:val="CommentText"/>
    <w:link w:val="CommentSubjectChar"/>
    <w:uiPriority w:val="99"/>
    <w:semiHidden/>
    <w:unhideWhenUsed/>
    <w:rsid w:val="00F541A5"/>
    <w:rPr>
      <w:b/>
      <w:bCs/>
    </w:rPr>
  </w:style>
  <w:style w:type="character" w:customStyle="1" w:styleId="CommentSubjectChar">
    <w:name w:val="Comment Subject Char"/>
    <w:basedOn w:val="CommentTextChar"/>
    <w:link w:val="CommentSubject"/>
    <w:uiPriority w:val="99"/>
    <w:semiHidden/>
    <w:rsid w:val="00F541A5"/>
    <w:rPr>
      <w:b/>
      <w:bCs/>
    </w:rPr>
  </w:style>
  <w:style w:type="paragraph" w:styleId="BalloonText">
    <w:name w:val="Balloon Text"/>
    <w:basedOn w:val="Normal"/>
    <w:link w:val="BalloonTextChar"/>
    <w:uiPriority w:val="99"/>
    <w:semiHidden/>
    <w:unhideWhenUsed/>
    <w:rsid w:val="00F541A5"/>
    <w:rPr>
      <w:rFonts w:ascii="Tahoma" w:hAnsi="Tahoma" w:cs="Tahoma"/>
      <w:sz w:val="16"/>
      <w:szCs w:val="16"/>
    </w:rPr>
  </w:style>
  <w:style w:type="character" w:customStyle="1" w:styleId="BalloonTextChar">
    <w:name w:val="Balloon Text Char"/>
    <w:basedOn w:val="DefaultParagraphFont"/>
    <w:link w:val="BalloonText"/>
    <w:uiPriority w:val="99"/>
    <w:semiHidden/>
    <w:rsid w:val="00F541A5"/>
    <w:rPr>
      <w:rFonts w:ascii="Tahoma" w:hAnsi="Tahoma" w:cs="Tahoma"/>
      <w:sz w:val="16"/>
      <w:szCs w:val="16"/>
    </w:rPr>
  </w:style>
  <w:style w:type="character" w:styleId="Hyperlink">
    <w:name w:val="Hyperlink"/>
    <w:basedOn w:val="DefaultParagraphFont"/>
    <w:uiPriority w:val="99"/>
    <w:unhideWhenUsed/>
    <w:rsid w:val="00FD4AAA"/>
    <w:rPr>
      <w:color w:val="0000FF" w:themeColor="hyperlink"/>
      <w:u w:val="single"/>
    </w:rPr>
  </w:style>
  <w:style w:type="paragraph" w:styleId="Revision">
    <w:name w:val="Revision"/>
    <w:hidden/>
    <w:uiPriority w:val="99"/>
    <w:semiHidden/>
    <w:rsid w:val="005900FC"/>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hur.Bruder@hq.do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D569-FEAE-40B1-A984-73692721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26</Pages>
  <Words>6668</Words>
  <Characters>38010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44589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coreyb</dc:creator>
  <cp:keywords/>
  <dc:description/>
  <cp:lastModifiedBy>brudera</cp:lastModifiedBy>
  <cp:revision>12</cp:revision>
  <cp:lastPrinted>2011-03-11T02:19:00Z</cp:lastPrinted>
  <dcterms:created xsi:type="dcterms:W3CDTF">2011-03-11T00:56:00Z</dcterms:created>
  <dcterms:modified xsi:type="dcterms:W3CDTF">2011-03-11T02:19:00Z</dcterms:modified>
</cp:coreProperties>
</file>