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81" w:rsidRPr="00736D55" w:rsidRDefault="002E3881" w:rsidP="002E3881">
      <w:pPr>
        <w:spacing w:before="36"/>
        <w:jc w:val="center"/>
        <w:rPr>
          <w:rFonts w:ascii="Times New Roman" w:hAnsi="Times New Roman" w:cs="Times New Roman"/>
          <w:b/>
          <w:bCs/>
          <w:spacing w:val="8"/>
          <w:szCs w:val="24"/>
        </w:rPr>
      </w:pPr>
      <w:r w:rsidRPr="00736D55">
        <w:rPr>
          <w:rFonts w:ascii="Times New Roman" w:hAnsi="Times New Roman" w:cs="Times New Roman"/>
          <w:b/>
          <w:bCs/>
          <w:spacing w:val="8"/>
          <w:szCs w:val="24"/>
        </w:rPr>
        <w:t>BEFORE THE PUBLIC SERVICE COMMISSION</w:t>
      </w:r>
      <w:r w:rsidR="002E4788">
        <w:rPr>
          <w:rFonts w:ascii="Times New Roman" w:hAnsi="Times New Roman" w:cs="Times New Roman"/>
          <w:b/>
          <w:bCs/>
          <w:spacing w:val="8"/>
          <w:szCs w:val="24"/>
        </w:rPr>
        <w:t xml:space="preserve"> </w:t>
      </w:r>
      <w:r w:rsidRPr="00736D55">
        <w:rPr>
          <w:rFonts w:ascii="Times New Roman" w:hAnsi="Times New Roman" w:cs="Times New Roman"/>
          <w:b/>
          <w:bCs/>
          <w:spacing w:val="8"/>
          <w:szCs w:val="24"/>
        </w:rPr>
        <w:t>OF THE STATE OF MISSOURI</w:t>
      </w:r>
    </w:p>
    <w:p w:rsidR="002E3881" w:rsidRDefault="002E3881" w:rsidP="002E3881">
      <w:pPr>
        <w:tabs>
          <w:tab w:val="left" w:pos="5328"/>
        </w:tabs>
        <w:spacing w:before="108"/>
        <w:rPr>
          <w:rFonts w:ascii="Times New Roman" w:hAnsi="Times New Roman" w:cs="Times New Roman"/>
          <w:szCs w:val="24"/>
        </w:rPr>
      </w:pPr>
    </w:p>
    <w:p w:rsidR="002E3881" w:rsidRPr="00C4771B" w:rsidRDefault="002E3881" w:rsidP="002E3881">
      <w:pPr>
        <w:tabs>
          <w:tab w:val="left" w:pos="5328"/>
        </w:tabs>
        <w:spacing w:before="108"/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>In the Matter of the Application of Kansas City       )</w:t>
      </w:r>
    </w:p>
    <w:p w:rsidR="002E3881" w:rsidRPr="00C4771B" w:rsidRDefault="002E3881" w:rsidP="002E3881">
      <w:pPr>
        <w:tabs>
          <w:tab w:val="left" w:pos="5328"/>
          <w:tab w:val="left" w:pos="5775"/>
        </w:tabs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>Power &amp; Light Company for Approval to</w:t>
      </w:r>
      <w:r w:rsidR="00C4771B">
        <w:rPr>
          <w:rFonts w:ascii="Times New Roman" w:hAnsi="Times New Roman" w:cs="Times New Roman"/>
          <w:b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szCs w:val="24"/>
        </w:rPr>
        <w:t>Make      )</w:t>
      </w:r>
      <w:r w:rsidRPr="00C4771B">
        <w:rPr>
          <w:rFonts w:ascii="Times New Roman" w:hAnsi="Times New Roman" w:cs="Times New Roman"/>
          <w:b/>
          <w:szCs w:val="24"/>
        </w:rPr>
        <w:tab/>
      </w:r>
      <w:r w:rsidRPr="00C4771B">
        <w:rPr>
          <w:rFonts w:ascii="Times New Roman" w:hAnsi="Times New Roman" w:cs="Times New Roman"/>
          <w:b/>
          <w:bCs/>
          <w:szCs w:val="24"/>
        </w:rPr>
        <w:t xml:space="preserve">Case No. </w:t>
      </w:r>
      <w:r w:rsidR="006C3BB6" w:rsidRPr="00C4771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bCs/>
          <w:szCs w:val="24"/>
        </w:rPr>
        <w:t>ER-2</w:t>
      </w:r>
      <w:r w:rsidR="00BD5AD6" w:rsidRPr="00C4771B">
        <w:rPr>
          <w:rFonts w:ascii="Times New Roman" w:hAnsi="Times New Roman" w:cs="Times New Roman"/>
          <w:b/>
          <w:bCs/>
          <w:szCs w:val="24"/>
        </w:rPr>
        <w:t>012-0174</w:t>
      </w:r>
      <w:r w:rsidRPr="00C4771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szCs w:val="24"/>
        </w:rPr>
        <w:t xml:space="preserve">                            Changes in its Charges for Electric Service</w:t>
      </w:r>
      <w:r w:rsidR="00C4771B">
        <w:rPr>
          <w:rFonts w:ascii="Times New Roman" w:hAnsi="Times New Roman" w:cs="Times New Roman"/>
          <w:b/>
          <w:szCs w:val="24"/>
        </w:rPr>
        <w:t xml:space="preserve"> </w:t>
      </w:r>
      <w:r w:rsidRPr="00C4771B">
        <w:rPr>
          <w:rFonts w:ascii="Times New Roman" w:hAnsi="Times New Roman" w:cs="Times New Roman"/>
          <w:b/>
          <w:szCs w:val="24"/>
        </w:rPr>
        <w:t xml:space="preserve">             )</w:t>
      </w:r>
      <w:r w:rsidRPr="00C4771B">
        <w:rPr>
          <w:rFonts w:ascii="Times New Roman" w:hAnsi="Times New Roman" w:cs="Times New Roman"/>
          <w:b/>
          <w:szCs w:val="24"/>
        </w:rPr>
        <w:tab/>
      </w:r>
    </w:p>
    <w:p w:rsidR="002E3881" w:rsidRPr="00C4771B" w:rsidRDefault="002E3881" w:rsidP="002E3881">
      <w:pPr>
        <w:tabs>
          <w:tab w:val="left" w:pos="5328"/>
        </w:tabs>
        <w:spacing w:line="280" w:lineRule="auto"/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 xml:space="preserve">to Continue the Implementation of its                       ) </w:t>
      </w:r>
    </w:p>
    <w:p w:rsidR="002E3881" w:rsidRPr="00C4771B" w:rsidRDefault="002E3881" w:rsidP="002E3881">
      <w:pPr>
        <w:tabs>
          <w:tab w:val="left" w:pos="5328"/>
        </w:tabs>
        <w:spacing w:line="280" w:lineRule="auto"/>
        <w:rPr>
          <w:rFonts w:ascii="Times New Roman" w:hAnsi="Times New Roman" w:cs="Times New Roman"/>
          <w:b/>
          <w:szCs w:val="24"/>
        </w:rPr>
      </w:pPr>
      <w:r w:rsidRPr="00C4771B">
        <w:rPr>
          <w:rFonts w:ascii="Times New Roman" w:hAnsi="Times New Roman" w:cs="Times New Roman"/>
          <w:b/>
          <w:szCs w:val="24"/>
        </w:rPr>
        <w:t xml:space="preserve">Regulatory Plan                       </w:t>
      </w:r>
      <w:r w:rsidR="00C4771B">
        <w:rPr>
          <w:rFonts w:ascii="Times New Roman" w:hAnsi="Times New Roman" w:cs="Times New Roman"/>
          <w:b/>
          <w:szCs w:val="24"/>
        </w:rPr>
        <w:t xml:space="preserve">  </w:t>
      </w:r>
      <w:r w:rsidRPr="00C4771B">
        <w:rPr>
          <w:rFonts w:ascii="Times New Roman" w:hAnsi="Times New Roman" w:cs="Times New Roman"/>
          <w:b/>
          <w:szCs w:val="24"/>
        </w:rPr>
        <w:t xml:space="preserve">                                  )</w:t>
      </w:r>
    </w:p>
    <w:p w:rsidR="002E3881" w:rsidRPr="00C4771B" w:rsidRDefault="002E3881" w:rsidP="002E3881">
      <w:pPr>
        <w:pStyle w:val="BodyText"/>
        <w:rPr>
          <w:rFonts w:ascii="Times New Roman" w:hAnsi="Times New Roman" w:cs="Times New Roman"/>
          <w:b/>
        </w:rPr>
      </w:pPr>
    </w:p>
    <w:p w:rsidR="002E4788" w:rsidRPr="002E4788" w:rsidRDefault="002E4788" w:rsidP="002E3881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E4788">
        <w:rPr>
          <w:rFonts w:ascii="Times New Roman" w:hAnsi="Times New Roman" w:cs="Times New Roman"/>
          <w:b/>
          <w:u w:val="single"/>
        </w:rPr>
        <w:t>STATEMENT OF POSITION</w:t>
      </w:r>
      <w:r w:rsidR="00F43940">
        <w:rPr>
          <w:rFonts w:ascii="Times New Roman" w:hAnsi="Times New Roman" w:cs="Times New Roman"/>
          <w:b/>
          <w:u w:val="single"/>
        </w:rPr>
        <w:t xml:space="preserve"> OF</w:t>
      </w:r>
      <w:r w:rsidRPr="002E4788">
        <w:rPr>
          <w:rFonts w:ascii="Times New Roman" w:hAnsi="Times New Roman" w:cs="Times New Roman"/>
          <w:b/>
          <w:u w:val="single"/>
        </w:rPr>
        <w:t xml:space="preserve">  </w:t>
      </w:r>
    </w:p>
    <w:p w:rsidR="002E3881" w:rsidRPr="002E4788" w:rsidRDefault="002E4788" w:rsidP="002E3881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E4788">
        <w:rPr>
          <w:rFonts w:ascii="Times New Roman" w:hAnsi="Times New Roman" w:cs="Times New Roman"/>
          <w:b/>
          <w:u w:val="single"/>
        </w:rPr>
        <w:t xml:space="preserve">THE </w:t>
      </w:r>
      <w:r w:rsidR="002E3881" w:rsidRPr="002E4788">
        <w:rPr>
          <w:rFonts w:ascii="Times New Roman" w:hAnsi="Times New Roman" w:cs="Times New Roman"/>
          <w:b/>
          <w:u w:val="single"/>
        </w:rPr>
        <w:t>U</w:t>
      </w:r>
      <w:r w:rsidRPr="002E4788">
        <w:rPr>
          <w:rFonts w:ascii="Times New Roman" w:hAnsi="Times New Roman" w:cs="Times New Roman"/>
          <w:b/>
          <w:u w:val="single"/>
        </w:rPr>
        <w:t>NITED STATES</w:t>
      </w:r>
      <w:r w:rsidR="002E3881" w:rsidRPr="002E4788">
        <w:rPr>
          <w:rFonts w:ascii="Times New Roman" w:hAnsi="Times New Roman" w:cs="Times New Roman"/>
          <w:b/>
          <w:u w:val="single"/>
        </w:rPr>
        <w:t xml:space="preserve"> DEPARTMENT OF ENERGY, </w:t>
      </w:r>
      <w:r w:rsidRPr="002E4788">
        <w:rPr>
          <w:rFonts w:ascii="Times New Roman" w:hAnsi="Times New Roman" w:cs="Times New Roman"/>
          <w:b/>
          <w:u w:val="single"/>
        </w:rPr>
        <w:t xml:space="preserve">THE </w:t>
      </w:r>
      <w:r w:rsidR="002E3881" w:rsidRPr="002E4788">
        <w:rPr>
          <w:rFonts w:ascii="Times New Roman" w:hAnsi="Times New Roman" w:cs="Times New Roman"/>
          <w:b/>
          <w:u w:val="single"/>
        </w:rPr>
        <w:t>NATIONAL NUCLEAR SECURITY</w:t>
      </w:r>
      <w:r w:rsidRPr="002E4788">
        <w:rPr>
          <w:rFonts w:ascii="Times New Roman" w:hAnsi="Times New Roman" w:cs="Times New Roman"/>
          <w:b/>
          <w:u w:val="single"/>
        </w:rPr>
        <w:t xml:space="preserve"> </w:t>
      </w:r>
      <w:r w:rsidR="002E3881" w:rsidRPr="002E4788">
        <w:rPr>
          <w:rFonts w:ascii="Times New Roman" w:hAnsi="Times New Roman" w:cs="Times New Roman"/>
          <w:b/>
          <w:u w:val="single"/>
        </w:rPr>
        <w:t>ADMINISTRATION,</w:t>
      </w:r>
      <w:r w:rsidRPr="002E4788">
        <w:rPr>
          <w:rFonts w:ascii="Times New Roman" w:hAnsi="Times New Roman" w:cs="Times New Roman"/>
          <w:b/>
          <w:u w:val="single"/>
        </w:rPr>
        <w:t xml:space="preserve"> </w:t>
      </w:r>
      <w:r w:rsidR="002E3881" w:rsidRPr="002E4788">
        <w:rPr>
          <w:rFonts w:ascii="Times New Roman" w:hAnsi="Times New Roman" w:cs="Times New Roman"/>
          <w:b/>
          <w:u w:val="single"/>
        </w:rPr>
        <w:t xml:space="preserve">AND </w:t>
      </w:r>
      <w:r w:rsidRPr="002E4788">
        <w:rPr>
          <w:rFonts w:ascii="Times New Roman" w:hAnsi="Times New Roman" w:cs="Times New Roman"/>
          <w:b/>
          <w:u w:val="single"/>
        </w:rPr>
        <w:t xml:space="preserve">THE </w:t>
      </w:r>
      <w:r w:rsidR="002E3881" w:rsidRPr="002E4788">
        <w:rPr>
          <w:rFonts w:ascii="Times New Roman" w:hAnsi="Times New Roman" w:cs="Times New Roman"/>
          <w:b/>
          <w:u w:val="single"/>
        </w:rPr>
        <w:t xml:space="preserve">FEDERAL EXECUTIVE AGENCIES </w:t>
      </w:r>
    </w:p>
    <w:p w:rsidR="002E3881" w:rsidRPr="00736D55" w:rsidRDefault="002E3881" w:rsidP="002E3881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2E3881" w:rsidRPr="00736D55" w:rsidRDefault="002E3881" w:rsidP="002E3881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2E3881" w:rsidRDefault="002E3881" w:rsidP="002E4788">
      <w:pPr>
        <w:pStyle w:val="BodyText"/>
        <w:spacing w:line="276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>COME NOW, the United States Department of Energy (“DOE”) and the United States National Nuclear Security Administration (“NNSA”), on behalf of themselves and other affected Federal Executive Agencies (“FEA”)</w:t>
      </w:r>
      <w:r>
        <w:rPr>
          <w:rFonts w:ascii="Times New Roman" w:hAnsi="Times New Roman" w:cs="Times New Roman"/>
        </w:rPr>
        <w:t>,</w:t>
      </w:r>
      <w:r w:rsidRPr="00736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and through undersigned counsel, </w:t>
      </w:r>
      <w:r w:rsidR="002E4788">
        <w:rPr>
          <w:rFonts w:ascii="Times New Roman" w:hAnsi="Times New Roman" w:cs="Times New Roman"/>
        </w:rPr>
        <w:t>respectfully</w:t>
      </w:r>
      <w:r>
        <w:rPr>
          <w:rFonts w:ascii="Times New Roman" w:hAnsi="Times New Roman" w:cs="Times New Roman"/>
        </w:rPr>
        <w:t xml:space="preserve"> submit this statement of position on the issues set forth below, pursuant to the procedural schedule herein.  This statement </w:t>
      </w:r>
      <w:r w:rsidR="002E4788">
        <w:rPr>
          <w:rFonts w:ascii="Times New Roman" w:hAnsi="Times New Roman" w:cs="Times New Roman"/>
        </w:rPr>
        <w:t>follows the order which is used</w:t>
      </w:r>
      <w:r>
        <w:rPr>
          <w:rFonts w:ascii="Times New Roman" w:hAnsi="Times New Roman" w:cs="Times New Roman"/>
        </w:rPr>
        <w:t xml:space="preserve"> in the list of issues filed herein by Staff on </w:t>
      </w:r>
      <w:r w:rsidR="00C4771B">
        <w:rPr>
          <w:rFonts w:ascii="Times New Roman" w:hAnsi="Times New Roman" w:cs="Times New Roman"/>
        </w:rPr>
        <w:t>October 11, 2012</w:t>
      </w:r>
      <w:r>
        <w:rPr>
          <w:rFonts w:ascii="Times New Roman" w:hAnsi="Times New Roman" w:cs="Times New Roman"/>
        </w:rPr>
        <w:t>.  DOE</w:t>
      </w:r>
      <w:r w:rsidR="00C477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NNSA</w:t>
      </w:r>
      <w:r w:rsidR="00C477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FEA take no position on any issue other than those set out below</w:t>
      </w:r>
      <w:r w:rsidR="002E4788">
        <w:rPr>
          <w:rFonts w:ascii="Times New Roman" w:hAnsi="Times New Roman" w:cs="Times New Roman"/>
        </w:rPr>
        <w:t>, but reserve</w:t>
      </w:r>
      <w:r>
        <w:rPr>
          <w:rFonts w:ascii="Times New Roman" w:hAnsi="Times New Roman" w:cs="Times New Roman"/>
        </w:rPr>
        <w:t xml:space="preserve">  the right</w:t>
      </w:r>
      <w:r w:rsidR="002E478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cross-examine witnesses, present oral argument, and submit one or more briefs on whatever other issues they may at a later time deem it necessary to address.  </w:t>
      </w:r>
    </w:p>
    <w:p w:rsidR="008131A7" w:rsidRDefault="008131A7" w:rsidP="00E723C2">
      <w:pPr>
        <w:spacing w:after="200" w:line="276" w:lineRule="auto"/>
        <w:rPr>
          <w:rFonts w:ascii="Times New Roman" w:hAnsi="Times New Roman" w:cs="Times New Roman"/>
          <w:b/>
          <w:szCs w:val="24"/>
          <w:u w:val="single"/>
        </w:rPr>
      </w:pPr>
    </w:p>
    <w:p w:rsidR="001E2EB1" w:rsidRPr="001E2EB1" w:rsidRDefault="001E2EB1" w:rsidP="001E2E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I. KCPL</w:t>
      </w:r>
      <w:r w:rsidR="00801AEA">
        <w:rPr>
          <w:rFonts w:ascii="Times New Roman" w:hAnsi="Times New Roman" w:cs="Times New Roman"/>
          <w:b/>
          <w:bCs/>
          <w:color w:val="auto"/>
          <w:szCs w:val="24"/>
          <w:u w:val="single"/>
        </w:rPr>
        <w:t>-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</w:t>
      </w:r>
      <w:r w:rsidR="00081D23">
        <w:rPr>
          <w:rFonts w:ascii="Times New Roman" w:hAnsi="Times New Roman" w:cs="Times New Roman"/>
          <w:b/>
          <w:bCs/>
          <w:color w:val="auto"/>
          <w:szCs w:val="24"/>
          <w:u w:val="single"/>
        </w:rPr>
        <w:t>NLY POSITIONS</w:t>
      </w:r>
    </w:p>
    <w:p w:rsidR="001E2EB1" w:rsidRPr="005175D0" w:rsidRDefault="001E2EB1" w:rsidP="001E2EB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1. Deferral of 2011 Missouri River Flood Costs and Losses</w:t>
      </w:r>
    </w:p>
    <w:p w:rsidR="001E2EB1" w:rsidRDefault="009C4601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1.</w:t>
      </w:r>
      <w:r w:rsidR="001E2EB1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b.</w:t>
      </w:r>
      <w:r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-</w:t>
      </w:r>
      <w:r w:rsidR="001E2EB1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5175D0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- </w:t>
      </w:r>
      <w:r w:rsidR="001E2EB1">
        <w:rPr>
          <w:rFonts w:ascii="Times New Roman" w:hAnsi="Times New Roman" w:cs="Times New Roman"/>
          <w:color w:val="auto"/>
          <w:szCs w:val="24"/>
        </w:rPr>
        <w:t xml:space="preserve">Should the off-system sales 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(“OSS”) </w:t>
      </w:r>
      <w:r w:rsidR="001E2EB1">
        <w:rPr>
          <w:rFonts w:ascii="Times New Roman" w:hAnsi="Times New Roman" w:cs="Times New Roman"/>
          <w:color w:val="auto"/>
          <w:szCs w:val="24"/>
        </w:rPr>
        <w:t>margins shortfall associated with the 2011</w:t>
      </w:r>
    </w:p>
    <w:p w:rsidR="001E2EB1" w:rsidRDefault="001E2EB1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Cs w:val="24"/>
        </w:rPr>
        <w:t>flood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be deferred and amortized over five years?</w:t>
      </w:r>
    </w:p>
    <w:p w:rsidR="001E2EB1" w:rsidRDefault="00081D23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1E2EB1">
        <w:rPr>
          <w:rFonts w:ascii="Times New Roman" w:hAnsi="Times New Roman" w:cs="Times New Roman"/>
          <w:color w:val="auto"/>
          <w:szCs w:val="24"/>
        </w:rPr>
        <w:t xml:space="preserve">i. If so, what amount of </w:t>
      </w:r>
      <w:r w:rsidR="005175D0">
        <w:rPr>
          <w:rFonts w:ascii="Times New Roman" w:hAnsi="Times New Roman" w:cs="Times New Roman"/>
          <w:color w:val="auto"/>
          <w:szCs w:val="24"/>
        </w:rPr>
        <w:t>OSS</w:t>
      </w:r>
      <w:r w:rsidR="001E2EB1">
        <w:rPr>
          <w:rFonts w:ascii="Times New Roman" w:hAnsi="Times New Roman" w:cs="Times New Roman"/>
          <w:color w:val="auto"/>
          <w:szCs w:val="24"/>
        </w:rPr>
        <w:t xml:space="preserve"> margins should be deferred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</w:t>
      </w:r>
      <w:r w:rsidR="001E2EB1">
        <w:rPr>
          <w:rFonts w:ascii="Times New Roman" w:hAnsi="Times New Roman" w:cs="Times New Roman"/>
          <w:color w:val="auto"/>
          <w:szCs w:val="24"/>
        </w:rPr>
        <w:t>and amortized?</w:t>
      </w:r>
    </w:p>
    <w:p w:rsidR="001E2EB1" w:rsidRPr="001E2EB1" w:rsidRDefault="001E2EB1" w:rsidP="00081D2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 w:rsidR="00081D23"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 w:rsidRPr="001E2EB1">
        <w:rPr>
          <w:rFonts w:ascii="Times New Roman" w:hAnsi="Times New Roman" w:cs="Times New Roman"/>
          <w:szCs w:val="24"/>
        </w:rPr>
        <w:t>The Company</w:t>
      </w:r>
      <w:r w:rsidR="00081D23">
        <w:rPr>
          <w:rFonts w:ascii="Times New Roman" w:hAnsi="Times New Roman" w:cs="Times New Roman"/>
          <w:szCs w:val="24"/>
        </w:rPr>
        <w:t xml:space="preserve"> should receive n</w:t>
      </w:r>
      <w:r w:rsidR="00293013">
        <w:rPr>
          <w:rFonts w:ascii="Times New Roman" w:hAnsi="Times New Roman" w:cs="Times New Roman"/>
          <w:szCs w:val="24"/>
        </w:rPr>
        <w:t>o</w:t>
      </w:r>
      <w:r w:rsidR="00081D23">
        <w:rPr>
          <w:rFonts w:ascii="Times New Roman" w:hAnsi="Times New Roman" w:cs="Times New Roman"/>
          <w:szCs w:val="24"/>
        </w:rPr>
        <w:t xml:space="preserve"> compensation </w:t>
      </w:r>
      <w:r w:rsidRPr="001E2EB1">
        <w:rPr>
          <w:rFonts w:ascii="Times New Roman" w:hAnsi="Times New Roman" w:cs="Times New Roman"/>
          <w:szCs w:val="24"/>
        </w:rPr>
        <w:t xml:space="preserve">for </w:t>
      </w:r>
      <w:r w:rsidR="00081D23">
        <w:rPr>
          <w:rFonts w:ascii="Times New Roman" w:hAnsi="Times New Roman" w:cs="Times New Roman"/>
          <w:color w:val="auto"/>
          <w:szCs w:val="24"/>
        </w:rPr>
        <w:t xml:space="preserve">the </w:t>
      </w:r>
      <w:r w:rsidR="00293013">
        <w:rPr>
          <w:rFonts w:ascii="Times New Roman" w:hAnsi="Times New Roman" w:cs="Times New Roman"/>
          <w:color w:val="auto"/>
          <w:szCs w:val="24"/>
        </w:rPr>
        <w:t xml:space="preserve">OSS </w:t>
      </w:r>
      <w:r w:rsidR="00081D23">
        <w:rPr>
          <w:rFonts w:ascii="Times New Roman" w:hAnsi="Times New Roman" w:cs="Times New Roman"/>
          <w:color w:val="auto"/>
          <w:szCs w:val="24"/>
        </w:rPr>
        <w:t xml:space="preserve">shortfall associated with the 2011 flood. </w:t>
      </w:r>
      <w:r w:rsidR="004D30FD">
        <w:rPr>
          <w:rFonts w:ascii="Times New Roman" w:hAnsi="Times New Roman" w:cs="Times New Roman"/>
          <w:szCs w:val="24"/>
        </w:rPr>
        <w:t xml:space="preserve">(Etheridge </w:t>
      </w:r>
      <w:r w:rsidR="00E940CF">
        <w:rPr>
          <w:rFonts w:ascii="Times New Roman" w:hAnsi="Times New Roman" w:cs="Times New Roman"/>
          <w:szCs w:val="24"/>
        </w:rPr>
        <w:t>d</w:t>
      </w:r>
      <w:r w:rsidR="004D30FD">
        <w:rPr>
          <w:rFonts w:ascii="Times New Roman" w:hAnsi="Times New Roman" w:cs="Times New Roman"/>
          <w:szCs w:val="24"/>
        </w:rPr>
        <w:t>irect</w:t>
      </w:r>
      <w:r w:rsidR="00E940CF">
        <w:rPr>
          <w:rFonts w:ascii="Times New Roman" w:hAnsi="Times New Roman" w:cs="Times New Roman"/>
          <w:szCs w:val="24"/>
        </w:rPr>
        <w:t xml:space="preserve"> </w:t>
      </w:r>
      <w:r w:rsidR="00AA0F6D">
        <w:rPr>
          <w:rFonts w:ascii="Times New Roman" w:hAnsi="Times New Roman" w:cs="Times New Roman"/>
          <w:szCs w:val="24"/>
        </w:rPr>
        <w:t xml:space="preserve">and </w:t>
      </w:r>
      <w:proofErr w:type="spellStart"/>
      <w:r w:rsidR="00AA0F6D">
        <w:rPr>
          <w:rFonts w:ascii="Times New Roman" w:hAnsi="Times New Roman" w:cs="Times New Roman"/>
          <w:szCs w:val="24"/>
        </w:rPr>
        <w:t>surrebuttal</w:t>
      </w:r>
      <w:proofErr w:type="spellEnd"/>
      <w:r w:rsidR="00AA0F6D">
        <w:rPr>
          <w:rFonts w:ascii="Times New Roman" w:hAnsi="Times New Roman" w:cs="Times New Roman"/>
          <w:szCs w:val="24"/>
        </w:rPr>
        <w:t xml:space="preserve"> </w:t>
      </w:r>
      <w:r w:rsidR="00E940CF">
        <w:rPr>
          <w:rFonts w:ascii="Times New Roman" w:hAnsi="Times New Roman" w:cs="Times New Roman"/>
          <w:szCs w:val="24"/>
        </w:rPr>
        <w:t>testimon</w:t>
      </w:r>
      <w:r w:rsidR="00AA0F6D">
        <w:rPr>
          <w:rFonts w:ascii="Times New Roman" w:hAnsi="Times New Roman" w:cs="Times New Roman"/>
          <w:szCs w:val="24"/>
        </w:rPr>
        <w:t>ies</w:t>
      </w:r>
      <w:r w:rsidR="004D30FD">
        <w:rPr>
          <w:rFonts w:ascii="Times New Roman" w:hAnsi="Times New Roman" w:cs="Times New Roman"/>
          <w:szCs w:val="24"/>
        </w:rPr>
        <w:t xml:space="preserve">) </w:t>
      </w:r>
    </w:p>
    <w:p w:rsidR="001E2EB1" w:rsidRPr="001E2EB1" w:rsidRDefault="001E2EB1" w:rsidP="001E2EB1">
      <w:pPr>
        <w:rPr>
          <w:rFonts w:ascii="Times New Roman" w:hAnsi="Times New Roman" w:cs="Times New Roman"/>
          <w:i/>
          <w:szCs w:val="24"/>
        </w:rPr>
      </w:pPr>
    </w:p>
    <w:p w:rsidR="0041270D" w:rsidRDefault="0041270D" w:rsidP="00081D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</w:rPr>
      </w:pPr>
    </w:p>
    <w:p w:rsidR="00081D23" w:rsidRPr="0041270D" w:rsidRDefault="00081D23" w:rsidP="00081D2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41270D">
        <w:rPr>
          <w:rFonts w:ascii="Times New Roman" w:hAnsi="Times New Roman" w:cs="Times New Roman"/>
          <w:b/>
          <w:color w:val="auto"/>
          <w:szCs w:val="24"/>
          <w:u w:val="single"/>
        </w:rPr>
        <w:t>2. Off-System Sales</w:t>
      </w:r>
    </w:p>
    <w:p w:rsidR="001E2EB1" w:rsidRPr="005175D0" w:rsidRDefault="009C4601" w:rsidP="001E2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2. </w:t>
      </w:r>
      <w:r w:rsidR="00081D23"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b.</w:t>
      </w:r>
      <w:r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-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5175D0"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- </w:t>
      </w:r>
      <w:r w:rsidR="00081D23">
        <w:rPr>
          <w:rFonts w:ascii="Times New Roman" w:hAnsi="Times New Roman" w:cs="Times New Roman"/>
          <w:color w:val="auto"/>
          <w:szCs w:val="24"/>
        </w:rPr>
        <w:t>What amount should be included in KCPL’s revenue requirement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</w:t>
      </w:r>
      <w:r w:rsidR="00081D23">
        <w:rPr>
          <w:rFonts w:ascii="Times New Roman" w:hAnsi="Times New Roman" w:cs="Times New Roman"/>
          <w:color w:val="auto"/>
          <w:szCs w:val="24"/>
        </w:rPr>
        <w:t xml:space="preserve">for </w:t>
      </w:r>
      <w:r w:rsidR="005175D0">
        <w:rPr>
          <w:rFonts w:ascii="Times New Roman" w:hAnsi="Times New Roman" w:cs="Times New Roman"/>
          <w:color w:val="auto"/>
          <w:szCs w:val="24"/>
        </w:rPr>
        <w:t>OSS?</w:t>
      </w:r>
    </w:p>
    <w:p w:rsidR="00081D23" w:rsidRPr="00801AEA" w:rsidRDefault="00081D23" w:rsidP="00801AEA">
      <w:pPr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>
        <w:rPr>
          <w:rFonts w:ascii="Times New Roman" w:hAnsi="Times New Roman" w:cs="Times New Roman"/>
          <w:szCs w:val="24"/>
        </w:rPr>
        <w:t xml:space="preserve">The </w:t>
      </w:r>
      <w:r w:rsidR="00385103">
        <w:rPr>
          <w:rFonts w:ascii="Times New Roman" w:hAnsi="Times New Roman" w:cs="Times New Roman"/>
          <w:szCs w:val="24"/>
        </w:rPr>
        <w:t>extant</w:t>
      </w:r>
      <w:r>
        <w:rPr>
          <w:rFonts w:ascii="Times New Roman" w:hAnsi="Times New Roman" w:cs="Times New Roman"/>
          <w:szCs w:val="24"/>
        </w:rPr>
        <w:t xml:space="preserve"> OSS-related arrangement</w:t>
      </w:r>
      <w:r w:rsidR="00385103" w:rsidRPr="00385103">
        <w:rPr>
          <w:rFonts w:ascii="Times New Roman" w:hAnsi="Times New Roman" w:cs="Times New Roman"/>
          <w:szCs w:val="24"/>
        </w:rPr>
        <w:t xml:space="preserve"> </w:t>
      </w:r>
      <w:r w:rsidR="00385103">
        <w:rPr>
          <w:rFonts w:ascii="Times New Roman" w:hAnsi="Times New Roman" w:cs="Times New Roman"/>
          <w:szCs w:val="24"/>
        </w:rPr>
        <w:t>for sharing OSS margins between shareholders and ratepayers</w:t>
      </w:r>
      <w:r w:rsidR="00293013">
        <w:rPr>
          <w:rFonts w:ascii="Times New Roman" w:hAnsi="Times New Roman" w:cs="Times New Roman"/>
          <w:szCs w:val="24"/>
        </w:rPr>
        <w:t xml:space="preserve"> </w:t>
      </w:r>
      <w:r w:rsidR="00385103">
        <w:rPr>
          <w:rFonts w:ascii="Times New Roman" w:hAnsi="Times New Roman" w:cs="Times New Roman"/>
          <w:szCs w:val="24"/>
        </w:rPr>
        <w:t>should be retained</w:t>
      </w:r>
      <w:r>
        <w:rPr>
          <w:rFonts w:ascii="Times New Roman" w:hAnsi="Times New Roman" w:cs="Times New Roman"/>
          <w:szCs w:val="24"/>
        </w:rPr>
        <w:t xml:space="preserve">.  The Company’s proposal to restructure this arrangement to allow it to </w:t>
      </w:r>
      <w:r w:rsidRPr="005C4B91">
        <w:rPr>
          <w:rFonts w:ascii="Times New Roman" w:hAnsi="Times New Roman" w:cs="Times New Roman"/>
          <w:szCs w:val="24"/>
        </w:rPr>
        <w:t>retain 25%</w:t>
      </w:r>
      <w:r>
        <w:rPr>
          <w:rFonts w:ascii="Times New Roman" w:hAnsi="Times New Roman" w:cs="Times New Roman"/>
          <w:szCs w:val="24"/>
        </w:rPr>
        <w:t xml:space="preserve"> of any </w:t>
      </w:r>
      <w:r w:rsidR="009C4601">
        <w:rPr>
          <w:rFonts w:ascii="Times New Roman" w:hAnsi="Times New Roman" w:cs="Times New Roman"/>
          <w:szCs w:val="24"/>
        </w:rPr>
        <w:t xml:space="preserve">OSS </w:t>
      </w:r>
      <w:r>
        <w:rPr>
          <w:rFonts w:ascii="Times New Roman" w:hAnsi="Times New Roman" w:cs="Times New Roman"/>
          <w:szCs w:val="24"/>
        </w:rPr>
        <w:t xml:space="preserve">margin beyond </w:t>
      </w:r>
      <w:r w:rsidR="009C4601">
        <w:rPr>
          <w:rFonts w:ascii="Times New Roman" w:hAnsi="Times New Roman" w:cs="Times New Roman"/>
          <w:szCs w:val="24"/>
        </w:rPr>
        <w:t>the 60</w:t>
      </w:r>
      <w:r w:rsidR="009C4601" w:rsidRPr="009C4601">
        <w:rPr>
          <w:rFonts w:ascii="Times New Roman" w:hAnsi="Times New Roman" w:cs="Times New Roman"/>
          <w:szCs w:val="24"/>
          <w:vertAlign w:val="superscript"/>
        </w:rPr>
        <w:t>th</w:t>
      </w:r>
      <w:r w:rsidR="009C4601">
        <w:rPr>
          <w:rFonts w:ascii="Times New Roman" w:hAnsi="Times New Roman" w:cs="Times New Roman"/>
          <w:szCs w:val="24"/>
        </w:rPr>
        <w:t xml:space="preserve"> percentile </w:t>
      </w:r>
      <w:r>
        <w:rPr>
          <w:rFonts w:ascii="Times New Roman" w:hAnsi="Times New Roman" w:cs="Times New Roman"/>
          <w:szCs w:val="24"/>
        </w:rPr>
        <w:t xml:space="preserve">and require ratepayers to absorb 25% of any </w:t>
      </w:r>
      <w:r w:rsidR="009C4601">
        <w:rPr>
          <w:rFonts w:ascii="Times New Roman" w:hAnsi="Times New Roman" w:cs="Times New Roman"/>
          <w:szCs w:val="24"/>
        </w:rPr>
        <w:t xml:space="preserve">OSS </w:t>
      </w:r>
      <w:r>
        <w:rPr>
          <w:rFonts w:ascii="Times New Roman" w:hAnsi="Times New Roman" w:cs="Times New Roman"/>
          <w:szCs w:val="24"/>
        </w:rPr>
        <w:t xml:space="preserve">margin </w:t>
      </w:r>
      <w:r w:rsidR="009C4601">
        <w:rPr>
          <w:rFonts w:ascii="Times New Roman" w:hAnsi="Times New Roman" w:cs="Times New Roman"/>
          <w:szCs w:val="24"/>
        </w:rPr>
        <w:t>shortfall below the 40</w:t>
      </w:r>
      <w:r w:rsidR="009C4601" w:rsidRPr="009C4601">
        <w:rPr>
          <w:rFonts w:ascii="Times New Roman" w:hAnsi="Times New Roman" w:cs="Times New Roman"/>
          <w:szCs w:val="24"/>
          <w:vertAlign w:val="superscript"/>
        </w:rPr>
        <w:t>th</w:t>
      </w:r>
      <w:r w:rsidR="009C4601">
        <w:rPr>
          <w:rFonts w:ascii="Times New Roman" w:hAnsi="Times New Roman" w:cs="Times New Roman"/>
          <w:szCs w:val="24"/>
        </w:rPr>
        <w:t xml:space="preserve"> percentile </w:t>
      </w:r>
      <w:r>
        <w:rPr>
          <w:rFonts w:ascii="Times New Roman" w:hAnsi="Times New Roman" w:cs="Times New Roman"/>
          <w:szCs w:val="24"/>
        </w:rPr>
        <w:t xml:space="preserve">should be rejected.   </w:t>
      </w:r>
      <w:r w:rsidR="00385103">
        <w:rPr>
          <w:rFonts w:ascii="Times New Roman" w:hAnsi="Times New Roman" w:cs="Times New Roman"/>
          <w:szCs w:val="24"/>
        </w:rPr>
        <w:t xml:space="preserve">The Commission should not change the extant arrangement until natural gas prices </w:t>
      </w:r>
      <w:r w:rsidR="00293013">
        <w:rPr>
          <w:rFonts w:ascii="Times New Roman" w:hAnsi="Times New Roman" w:cs="Times New Roman"/>
          <w:szCs w:val="24"/>
        </w:rPr>
        <w:t xml:space="preserve">and wholesale electricity prices </w:t>
      </w:r>
      <w:r w:rsidR="00385103">
        <w:rPr>
          <w:rFonts w:ascii="Times New Roman" w:hAnsi="Times New Roman" w:cs="Times New Roman"/>
          <w:szCs w:val="24"/>
        </w:rPr>
        <w:t>return to more normal levels</w:t>
      </w:r>
      <w:r w:rsidR="004D30FD">
        <w:rPr>
          <w:rFonts w:ascii="Times New Roman" w:hAnsi="Times New Roman" w:cs="Times New Roman"/>
          <w:szCs w:val="24"/>
        </w:rPr>
        <w:t xml:space="preserve">. (Etheridge </w:t>
      </w:r>
      <w:r w:rsidR="009C4601">
        <w:rPr>
          <w:rFonts w:ascii="Times New Roman" w:hAnsi="Times New Roman" w:cs="Times New Roman"/>
          <w:szCs w:val="24"/>
        </w:rPr>
        <w:t>d</w:t>
      </w:r>
      <w:r w:rsidR="004D30FD">
        <w:rPr>
          <w:rFonts w:ascii="Times New Roman" w:hAnsi="Times New Roman" w:cs="Times New Roman"/>
          <w:szCs w:val="24"/>
        </w:rPr>
        <w:t>irect</w:t>
      </w:r>
      <w:r w:rsidR="009C4601">
        <w:rPr>
          <w:rFonts w:ascii="Times New Roman" w:hAnsi="Times New Roman" w:cs="Times New Roman"/>
          <w:szCs w:val="24"/>
        </w:rPr>
        <w:t xml:space="preserve"> and rebuttal testimonies)</w:t>
      </w:r>
      <w:r w:rsidR="004D30FD">
        <w:rPr>
          <w:rFonts w:ascii="Times New Roman" w:hAnsi="Times New Roman" w:cs="Times New Roman"/>
          <w:szCs w:val="24"/>
        </w:rPr>
        <w:t xml:space="preserve"> </w:t>
      </w:r>
    </w:p>
    <w:p w:rsidR="00AA0F6D" w:rsidRDefault="00AA0F6D" w:rsidP="009C4601">
      <w:pPr>
        <w:tabs>
          <w:tab w:val="left" w:pos="61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D93FBC" w:rsidRPr="00D93FBC" w:rsidRDefault="009C4601" w:rsidP="00AA0F6D">
      <w:pPr>
        <w:tabs>
          <w:tab w:val="left" w:pos="612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2.c</w:t>
      </w:r>
      <w:proofErr w:type="gramEnd"/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. -</w:t>
      </w:r>
      <w:r w:rsidR="00D93FBC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ISSUE</w:t>
      </w:r>
      <w:r>
        <w:rPr>
          <w:rFonts w:ascii="Times New Roman" w:hAnsi="Times New Roman" w:cs="Times New Roman"/>
          <w:b/>
          <w:color w:val="auto"/>
          <w:szCs w:val="24"/>
        </w:rPr>
        <w:t xml:space="preserve"> - </w:t>
      </w:r>
      <w:r w:rsidR="00D93FBC" w:rsidRPr="009C4601">
        <w:rPr>
          <w:rFonts w:ascii="Times New Roman" w:hAnsi="Times New Roman" w:cs="Times New Roman"/>
          <w:color w:val="auto"/>
          <w:szCs w:val="24"/>
        </w:rPr>
        <w:t xml:space="preserve">Should the Commission continue the </w:t>
      </w:r>
      <w:r w:rsidR="00293013">
        <w:rPr>
          <w:rFonts w:ascii="Times New Roman" w:hAnsi="Times New Roman" w:cs="Times New Roman"/>
          <w:color w:val="auto"/>
          <w:szCs w:val="24"/>
        </w:rPr>
        <w:t>OSS</w:t>
      </w:r>
      <w:r w:rsidR="00D93FBC" w:rsidRPr="009C4601">
        <w:rPr>
          <w:rFonts w:ascii="Times New Roman" w:hAnsi="Times New Roman" w:cs="Times New Roman"/>
          <w:color w:val="auto"/>
          <w:szCs w:val="24"/>
        </w:rPr>
        <w:t xml:space="preserve"> tracker?</w:t>
      </w:r>
      <w:r w:rsidR="00AA0F6D">
        <w:rPr>
          <w:rFonts w:ascii="Times New Roman" w:hAnsi="Times New Roman" w:cs="Times New Roman"/>
          <w:color w:val="auto"/>
          <w:szCs w:val="24"/>
        </w:rPr>
        <w:t xml:space="preserve">                                   </w:t>
      </w:r>
      <w:r w:rsidR="00D93FBC"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 w:rsidR="00D93FBC"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="00D93FBC"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 w:rsidR="00D93FBC"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 w:rsidR="00D93FBC" w:rsidRPr="009C4601">
        <w:rPr>
          <w:rFonts w:ascii="Times New Roman" w:hAnsi="Times New Roman" w:cs="Times New Roman"/>
          <w:bCs/>
          <w:color w:val="auto"/>
          <w:szCs w:val="24"/>
        </w:rPr>
        <w:t>DOE/NNSA/FEA take no position as to whether</w:t>
      </w:r>
      <w:r w:rsidR="00D93FBC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the Commission should continue the </w:t>
      </w:r>
      <w:r w:rsidR="00293013">
        <w:rPr>
          <w:rFonts w:ascii="Times New Roman" w:hAnsi="Times New Roman" w:cs="Times New Roman"/>
          <w:color w:val="auto"/>
          <w:szCs w:val="24"/>
        </w:rPr>
        <w:t>OSS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 tracker.  DOE/NNSA</w:t>
      </w:r>
      <w:r w:rsidR="00E43AD0">
        <w:rPr>
          <w:rFonts w:ascii="Times New Roman" w:hAnsi="Times New Roman" w:cs="Times New Roman"/>
          <w:color w:val="auto"/>
          <w:szCs w:val="24"/>
        </w:rPr>
        <w:t>/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FEA’s position </w:t>
      </w:r>
      <w:r w:rsidR="00E43AD0">
        <w:rPr>
          <w:rFonts w:ascii="Times New Roman" w:hAnsi="Times New Roman" w:cs="Times New Roman"/>
          <w:color w:val="auto"/>
          <w:szCs w:val="24"/>
        </w:rPr>
        <w:t xml:space="preserve">in this regard is 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that, </w:t>
      </w:r>
      <w:r w:rsidR="00D93FBC" w:rsidRPr="00E43AD0">
        <w:rPr>
          <w:rFonts w:ascii="Times New Roman" w:hAnsi="Times New Roman" w:cs="Times New Roman"/>
          <w:i/>
          <w:color w:val="auto"/>
          <w:szCs w:val="24"/>
        </w:rPr>
        <w:t>if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 the Commission eliminates the </w:t>
      </w:r>
      <w:r w:rsidR="00293013">
        <w:rPr>
          <w:rFonts w:ascii="Times New Roman" w:hAnsi="Times New Roman" w:cs="Times New Roman"/>
          <w:color w:val="auto"/>
          <w:szCs w:val="24"/>
        </w:rPr>
        <w:t>OSS tracker</w:t>
      </w:r>
      <w:r w:rsidR="00D93FBC" w:rsidRPr="00E43AD0">
        <w:rPr>
          <w:rFonts w:ascii="Times New Roman" w:hAnsi="Times New Roman" w:cs="Times New Roman"/>
          <w:color w:val="auto"/>
          <w:szCs w:val="24"/>
        </w:rPr>
        <w:t>, a reasonable level of OSS margins must be included as an offset to revenue requirement, and that level should represent the 50</w:t>
      </w:r>
      <w:r w:rsidR="00D93FBC" w:rsidRPr="00E43AD0">
        <w:rPr>
          <w:rFonts w:ascii="Times New Roman" w:hAnsi="Times New Roman" w:cs="Times New Roman"/>
          <w:color w:val="auto"/>
          <w:szCs w:val="24"/>
          <w:vertAlign w:val="superscript"/>
        </w:rPr>
        <w:t>th</w:t>
      </w:r>
      <w:r w:rsidR="00D93FBC" w:rsidRPr="00E43AD0">
        <w:rPr>
          <w:rFonts w:ascii="Times New Roman" w:hAnsi="Times New Roman" w:cs="Times New Roman"/>
          <w:color w:val="auto"/>
          <w:szCs w:val="24"/>
        </w:rPr>
        <w:t xml:space="preserve"> percentile of the Company’s </w:t>
      </w:r>
      <w:r w:rsidR="00D93FBC" w:rsidRPr="00E43AD0">
        <w:rPr>
          <w:rFonts w:ascii="Times New Roman" w:hAnsi="Times New Roman" w:cs="Times New Roman"/>
          <w:color w:val="auto"/>
          <w:szCs w:val="24"/>
        </w:rPr>
        <w:lastRenderedPageBreak/>
        <w:t>forward-looking probabilistic analysis</w:t>
      </w:r>
      <w:r w:rsidR="00E43AD0" w:rsidRPr="00E43AD0">
        <w:rPr>
          <w:rFonts w:ascii="Times New Roman" w:hAnsi="Times New Roman" w:cs="Times New Roman"/>
          <w:color w:val="auto"/>
          <w:szCs w:val="24"/>
        </w:rPr>
        <w:t>, or some other normalized level.</w:t>
      </w:r>
      <w:r w:rsidR="00E43AD0">
        <w:rPr>
          <w:rFonts w:ascii="Times New Roman" w:hAnsi="Times New Roman" w:cs="Times New Roman"/>
          <w:color w:val="auto"/>
          <w:szCs w:val="24"/>
        </w:rPr>
        <w:t xml:space="preserve"> </w:t>
      </w:r>
      <w:r w:rsidR="00D93FBC" w:rsidRPr="00D93FBC">
        <w:rPr>
          <w:rFonts w:ascii="Times New Roman" w:hAnsi="Times New Roman" w:cs="Times New Roman"/>
          <w:color w:val="auto"/>
          <w:szCs w:val="24"/>
        </w:rPr>
        <w:t xml:space="preserve">(Etheridge </w:t>
      </w:r>
      <w:r w:rsidR="00394A86">
        <w:rPr>
          <w:rFonts w:ascii="Times New Roman" w:hAnsi="Times New Roman" w:cs="Times New Roman"/>
          <w:color w:val="auto"/>
          <w:szCs w:val="24"/>
        </w:rPr>
        <w:t>rebuttal</w:t>
      </w:r>
      <w:r w:rsidR="00E940CF">
        <w:rPr>
          <w:rFonts w:ascii="Times New Roman" w:hAnsi="Times New Roman" w:cs="Times New Roman"/>
          <w:color w:val="auto"/>
          <w:szCs w:val="24"/>
        </w:rPr>
        <w:t xml:space="preserve"> testimony</w:t>
      </w:r>
      <w:r w:rsidR="00E43AD0">
        <w:rPr>
          <w:rFonts w:ascii="Times New Roman" w:hAnsi="Times New Roman" w:cs="Times New Roman"/>
          <w:color w:val="auto"/>
          <w:szCs w:val="24"/>
        </w:rPr>
        <w:t xml:space="preserve">) </w:t>
      </w:r>
    </w:p>
    <w:p w:rsidR="00385103" w:rsidRDefault="00385103" w:rsidP="005175D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41270D" w:rsidRDefault="0041270D" w:rsidP="005175D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6. Rate Design/Class Cost </w:t>
      </w:r>
      <w:r w:rsidR="00440927">
        <w:rPr>
          <w:rFonts w:ascii="Times New Roman" w:hAnsi="Times New Roman" w:cs="Times New Roman"/>
          <w:b/>
          <w:color w:val="auto"/>
          <w:szCs w:val="24"/>
          <w:u w:val="single"/>
        </w:rPr>
        <w:t>o</w:t>
      </w: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f Service Study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    </w:t>
      </w:r>
    </w:p>
    <w:p w:rsidR="0041270D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a. i. 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>
        <w:rPr>
          <w:rFonts w:ascii="Times New Roman" w:hAnsi="Times New Roman" w:cs="Times New Roman"/>
          <w:color w:val="auto"/>
          <w:szCs w:val="24"/>
        </w:rPr>
        <w:t xml:space="preserve"> - </w:t>
      </w:r>
      <w:r w:rsidR="0041270D">
        <w:rPr>
          <w:rFonts w:ascii="Times New Roman" w:hAnsi="Times New Roman" w:cs="Times New Roman"/>
          <w:color w:val="auto"/>
          <w:szCs w:val="24"/>
        </w:rPr>
        <w:t>What methodology should be used to allocate demand-related (fixed)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1270D">
        <w:rPr>
          <w:rFonts w:ascii="Times New Roman" w:hAnsi="Times New Roman" w:cs="Times New Roman"/>
          <w:color w:val="auto"/>
          <w:szCs w:val="24"/>
        </w:rPr>
        <w:t>production costs in KCPL’s class cost-of-service study?</w:t>
      </w:r>
    </w:p>
    <w:p w:rsidR="005576B7" w:rsidRDefault="00580B95" w:rsidP="005576B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 w:rsidR="005576B7">
        <w:rPr>
          <w:rFonts w:ascii="Times New Roman" w:hAnsi="Times New Roman" w:cs="Times New Roman"/>
          <w:b/>
          <w:bCs/>
          <w:color w:val="auto"/>
          <w:szCs w:val="24"/>
        </w:rPr>
        <w:t xml:space="preserve"> - </w:t>
      </w:r>
      <w:r w:rsidR="005576B7" w:rsidRPr="005576B7">
        <w:rPr>
          <w:rFonts w:ascii="Times New Roman" w:hAnsi="Times New Roman" w:cs="Times New Roman"/>
          <w:bCs/>
          <w:color w:val="auto"/>
          <w:szCs w:val="24"/>
        </w:rPr>
        <w:t>The 4CP methodology should be used to allocate</w:t>
      </w:r>
      <w:r w:rsidR="005576B7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5576B7">
        <w:rPr>
          <w:rFonts w:ascii="Times New Roman" w:hAnsi="Times New Roman" w:cs="Times New Roman"/>
          <w:color w:val="auto"/>
          <w:szCs w:val="24"/>
        </w:rPr>
        <w:t>demand-related (fixed) production costs in KCPL’s class cost-of-service study.</w:t>
      </w:r>
      <w:r w:rsidR="00E940CF">
        <w:rPr>
          <w:rFonts w:ascii="Times New Roman" w:hAnsi="Times New Roman" w:cs="Times New Roman"/>
          <w:color w:val="auto"/>
          <w:szCs w:val="24"/>
        </w:rPr>
        <w:t xml:space="preserve"> (Goins direct, rebuttal and surrebuttal testimonies)</w:t>
      </w:r>
    </w:p>
    <w:p w:rsidR="00580B95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</w:p>
    <w:p w:rsidR="0041270D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a. </w:t>
      </w:r>
      <w:r w:rsidR="0041270D" w:rsidRPr="00580B95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ii. 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Pr="00580B95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>
        <w:rPr>
          <w:rFonts w:ascii="Times New Roman" w:hAnsi="Times New Roman" w:cs="Times New Roman"/>
          <w:color w:val="auto"/>
          <w:szCs w:val="24"/>
        </w:rPr>
        <w:t xml:space="preserve"> - </w:t>
      </w:r>
      <w:r w:rsidR="0041270D">
        <w:rPr>
          <w:rFonts w:ascii="Times New Roman" w:hAnsi="Times New Roman" w:cs="Times New Roman"/>
          <w:color w:val="auto"/>
          <w:szCs w:val="24"/>
        </w:rPr>
        <w:t>What methodology should be used in the CCOS to allocate OSS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1270D">
        <w:rPr>
          <w:rFonts w:ascii="Times New Roman" w:hAnsi="Times New Roman" w:cs="Times New Roman"/>
          <w:color w:val="auto"/>
          <w:szCs w:val="24"/>
        </w:rPr>
        <w:t>margins?</w:t>
      </w:r>
    </w:p>
    <w:p w:rsidR="005576B7" w:rsidRPr="005576B7" w:rsidRDefault="005576B7" w:rsidP="005576B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– </w:t>
      </w:r>
      <w:r w:rsidRPr="005576B7">
        <w:rPr>
          <w:rFonts w:ascii="Times New Roman" w:hAnsi="Times New Roman" w:cs="Times New Roman"/>
          <w:bCs/>
          <w:color w:val="auto"/>
          <w:szCs w:val="24"/>
        </w:rPr>
        <w:t xml:space="preserve">OSS margins should continue to be allocated on the basis of </w:t>
      </w:r>
      <w:r>
        <w:rPr>
          <w:rFonts w:ascii="Times New Roman" w:hAnsi="Times New Roman" w:cs="Times New Roman"/>
          <w:bCs/>
          <w:color w:val="auto"/>
          <w:szCs w:val="24"/>
        </w:rPr>
        <w:t>loss-adjusted kWh (</w:t>
      </w:r>
      <w:r w:rsidRPr="005576B7">
        <w:rPr>
          <w:rFonts w:ascii="Times New Roman" w:hAnsi="Times New Roman" w:cs="Times New Roman"/>
          <w:bCs/>
          <w:color w:val="auto"/>
          <w:szCs w:val="24"/>
        </w:rPr>
        <w:t>energy</w:t>
      </w:r>
      <w:r>
        <w:rPr>
          <w:rFonts w:ascii="Times New Roman" w:hAnsi="Times New Roman" w:cs="Times New Roman"/>
          <w:bCs/>
          <w:color w:val="auto"/>
          <w:szCs w:val="24"/>
        </w:rPr>
        <w:t>)</w:t>
      </w:r>
      <w:r w:rsidRPr="005576B7">
        <w:rPr>
          <w:rFonts w:ascii="Times New Roman" w:hAnsi="Times New Roman" w:cs="Times New Roman"/>
          <w:bCs/>
          <w:color w:val="auto"/>
          <w:szCs w:val="24"/>
        </w:rPr>
        <w:t xml:space="preserve"> usage.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(Goins direct </w:t>
      </w:r>
      <w:r w:rsidR="00AA0F6D">
        <w:rPr>
          <w:rFonts w:ascii="Times New Roman" w:hAnsi="Times New Roman" w:cs="Times New Roman"/>
          <w:bCs/>
          <w:color w:val="auto"/>
          <w:szCs w:val="24"/>
        </w:rPr>
        <w:t xml:space="preserve">and rebuttal </w:t>
      </w:r>
      <w:r w:rsidR="00293013">
        <w:rPr>
          <w:rFonts w:ascii="Times New Roman" w:hAnsi="Times New Roman" w:cs="Times New Roman"/>
          <w:bCs/>
          <w:color w:val="auto"/>
          <w:szCs w:val="24"/>
        </w:rPr>
        <w:t>testimony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) </w:t>
      </w:r>
    </w:p>
    <w:p w:rsidR="00580B95" w:rsidRDefault="00580B95" w:rsidP="0041270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41270D" w:rsidRDefault="0041270D" w:rsidP="0041270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5175D0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b. </w:t>
      </w:r>
      <w:r w:rsidR="00D93FB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5175D0" w:rsidRPr="005175D0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Cs w:val="24"/>
        </w:rPr>
        <w:t>How should any rate increase be allocated among the various customer</w:t>
      </w:r>
      <w:r w:rsidR="005175D0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classes?</w:t>
      </w:r>
    </w:p>
    <w:p w:rsidR="005175D0" w:rsidRDefault="005175D0" w:rsidP="005175D0">
      <w:pPr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580B95">
        <w:rPr>
          <w:rFonts w:ascii="Times New Roman" w:hAnsi="Times New Roman" w:cs="Times New Roman"/>
          <w:b/>
          <w:bCs/>
          <w:color w:val="auto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Any rate increase should be allocated on the basis of the coincident peak </w:t>
      </w:r>
      <w:r w:rsidR="00293013">
        <w:rPr>
          <w:rFonts w:ascii="Times New Roman" w:hAnsi="Times New Roman" w:cs="Times New Roman"/>
          <w:szCs w:val="24"/>
        </w:rPr>
        <w:t xml:space="preserve">(“4CP”) </w:t>
      </w:r>
      <w:r>
        <w:rPr>
          <w:rFonts w:ascii="Times New Roman" w:hAnsi="Times New Roman" w:cs="Times New Roman"/>
          <w:szCs w:val="24"/>
        </w:rPr>
        <w:t xml:space="preserve">methodology recommended by DOE witness Dr. Dennis Goins or, in the alternative, on the basis of either the Average &amp; Excess (“A&amp;E”) methodology recommended by Industrials’ witness Dr. Morris Brubaker, or on an equal percentage basis.  </w:t>
      </w:r>
      <w:r w:rsidRPr="008131A7">
        <w:rPr>
          <w:rFonts w:ascii="Times New Roman" w:hAnsi="Times New Roman" w:cs="Times New Roman"/>
          <w:szCs w:val="24"/>
        </w:rPr>
        <w:t xml:space="preserve">The </w:t>
      </w:r>
      <w:r w:rsidRPr="004122D2">
        <w:rPr>
          <w:rFonts w:ascii="Times New Roman" w:hAnsi="Times New Roman" w:cs="Times New Roman"/>
          <w:szCs w:val="24"/>
        </w:rPr>
        <w:t>Company</w:t>
      </w:r>
      <w:r>
        <w:rPr>
          <w:rFonts w:ascii="Times New Roman" w:hAnsi="Times New Roman" w:cs="Times New Roman"/>
          <w:szCs w:val="24"/>
        </w:rPr>
        <w:t xml:space="preserve">’s proposal to allocate any rate increase on the basis of a Base/Intermediate/Peak (“BIP”) methodology should be rejected.  </w:t>
      </w:r>
    </w:p>
    <w:p w:rsidR="005175D0" w:rsidRDefault="00E940CF" w:rsidP="005175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(Goins direct, rebuttal, and surrebuttal testimonies)</w:t>
      </w:r>
    </w:p>
    <w:p w:rsidR="005576B7" w:rsidRDefault="005576B7" w:rsidP="004409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</w:p>
    <w:p w:rsidR="0057112B" w:rsidRDefault="0057112B" w:rsidP="004409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</w:p>
    <w:p w:rsidR="00440927" w:rsidRPr="009C4601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Cs w:val="24"/>
          <w:u w:val="single"/>
        </w:rPr>
      </w:pPr>
      <w:r w:rsidRPr="009C460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II. KCPL </w:t>
      </w:r>
      <w:r w:rsidR="00E940CF">
        <w:rPr>
          <w:rFonts w:ascii="Times New Roman" w:hAnsi="Times New Roman" w:cs="Times New Roman"/>
          <w:b/>
          <w:bCs/>
          <w:color w:val="auto"/>
          <w:szCs w:val="24"/>
          <w:u w:val="single"/>
        </w:rPr>
        <w:t>-</w:t>
      </w:r>
      <w:r w:rsidRPr="009C460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 GMO C</w:t>
      </w:r>
      <w:r w:rsidR="009C460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OMMON ISSUES</w:t>
      </w:r>
    </w:p>
    <w:p w:rsidR="00440927" w:rsidRPr="00801AEA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  <w:u w:val="single"/>
        </w:rPr>
      </w:pPr>
      <w:r w:rsidRPr="00801AEA">
        <w:rPr>
          <w:rFonts w:ascii="Times New Roman" w:hAnsi="Times New Roman" w:cs="Times New Roman"/>
          <w:b/>
          <w:color w:val="auto"/>
          <w:szCs w:val="24"/>
          <w:u w:val="single"/>
        </w:rPr>
        <w:t>3. Cost of Capital</w:t>
      </w:r>
      <w:r w:rsidRPr="00801AEA">
        <w:rPr>
          <w:rFonts w:ascii="Times New Roman" w:hAnsi="Times New Roman" w:cs="Times New Roman"/>
          <w:color w:val="auto"/>
          <w:szCs w:val="24"/>
          <w:u w:val="single"/>
        </w:rPr>
        <w:t xml:space="preserve"> </w:t>
      </w:r>
    </w:p>
    <w:p w:rsidR="00440927" w:rsidRPr="009C4601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a. </w:t>
      </w:r>
      <w:r w:rsidR="00801AEA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801AEA" w:rsidRPr="009C4601">
        <w:rPr>
          <w:rFonts w:ascii="Times New Roman" w:hAnsi="Times New Roman" w:cs="Times New Roman"/>
          <w:b/>
          <w:color w:val="auto"/>
          <w:szCs w:val="24"/>
        </w:rPr>
        <w:t xml:space="preserve"> -</w:t>
      </w:r>
      <w:r w:rsidR="009C4601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9C4601">
        <w:rPr>
          <w:rFonts w:ascii="Times New Roman" w:hAnsi="Times New Roman" w:cs="Times New Roman"/>
          <w:color w:val="auto"/>
          <w:szCs w:val="24"/>
        </w:rPr>
        <w:t xml:space="preserve">What 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return on common equity </w:t>
      </w:r>
      <w:r w:rsidRPr="009C4601">
        <w:rPr>
          <w:rFonts w:ascii="Times New Roman" w:hAnsi="Times New Roman" w:cs="Times New Roman"/>
          <w:color w:val="auto"/>
          <w:szCs w:val="24"/>
        </w:rPr>
        <w:t>should be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 </w:t>
      </w:r>
      <w:r w:rsidRPr="009C4601">
        <w:rPr>
          <w:rFonts w:ascii="Times New Roman" w:hAnsi="Times New Roman" w:cs="Times New Roman"/>
          <w:color w:val="auto"/>
          <w:szCs w:val="24"/>
        </w:rPr>
        <w:t>used for determining rate of return?</w:t>
      </w:r>
    </w:p>
    <w:p w:rsidR="00801AEA" w:rsidRPr="00801AEA" w:rsidRDefault="00801AEA" w:rsidP="00801AEA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return on common equity </w:t>
      </w:r>
      <w:r w:rsidR="002F6173">
        <w:rPr>
          <w:rFonts w:ascii="Times New Roman" w:hAnsi="Times New Roman" w:cs="Times New Roman"/>
        </w:rPr>
        <w:t xml:space="preserve">no higher than </w:t>
      </w:r>
      <w:r w:rsidRPr="00C4771B">
        <w:rPr>
          <w:rFonts w:ascii="Times New Roman" w:hAnsi="Times New Roman" w:cs="Times New Roman"/>
        </w:rPr>
        <w:t>9.5%</w:t>
      </w:r>
      <w:r w:rsidR="002F6173">
        <w:rPr>
          <w:rFonts w:ascii="Times New Roman" w:hAnsi="Times New Roman" w:cs="Times New Roman"/>
        </w:rPr>
        <w:t xml:space="preserve"> shou</w:t>
      </w:r>
      <w:r>
        <w:rPr>
          <w:rFonts w:ascii="Times New Roman" w:hAnsi="Times New Roman" w:cs="Times New Roman"/>
        </w:rPr>
        <w:t>ld be used to determine rate of return</w:t>
      </w:r>
      <w:r w:rsidR="002F6173">
        <w:rPr>
          <w:rFonts w:ascii="Times New Roman" w:hAnsi="Times New Roman" w:cs="Times New Roman"/>
        </w:rPr>
        <w:t>.</w:t>
      </w:r>
      <w:r w:rsidRPr="00C4771B">
        <w:rPr>
          <w:rFonts w:ascii="Times New Roman" w:hAnsi="Times New Roman" w:cs="Times New Roman"/>
        </w:rPr>
        <w:t xml:space="preserve"> </w:t>
      </w:r>
      <w:r w:rsidR="002F6173">
        <w:rPr>
          <w:rFonts w:ascii="Times New Roman" w:hAnsi="Times New Roman" w:cs="Times New Roman"/>
        </w:rPr>
        <w:t>(</w:t>
      </w:r>
      <w:r w:rsidRPr="00C4771B">
        <w:rPr>
          <w:rFonts w:ascii="Times New Roman" w:hAnsi="Times New Roman" w:cs="Times New Roman"/>
        </w:rPr>
        <w:t>Kahal</w:t>
      </w:r>
      <w:r w:rsidR="002F6173">
        <w:rPr>
          <w:rFonts w:ascii="Times New Roman" w:hAnsi="Times New Roman" w:cs="Times New Roman"/>
        </w:rPr>
        <w:t xml:space="preserve"> direct and surrebuttal testimonies)</w:t>
      </w:r>
      <w:r w:rsidR="00E940CF">
        <w:rPr>
          <w:rFonts w:ascii="Times New Roman" w:hAnsi="Times New Roman" w:cs="Times New Roman"/>
        </w:rPr>
        <w:t xml:space="preserve"> </w:t>
      </w:r>
    </w:p>
    <w:p w:rsidR="00801AEA" w:rsidRDefault="00801AEA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</w:p>
    <w:p w:rsidR="00440927" w:rsidRPr="009C4601" w:rsidRDefault="00440927" w:rsidP="0044092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9C4601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b. </w:t>
      </w:r>
      <w:r w:rsidR="00801AEA" w:rsidRPr="009C4601">
        <w:rPr>
          <w:rFonts w:ascii="Times New Roman" w:hAnsi="Times New Roman" w:cs="Times New Roman"/>
          <w:b/>
          <w:color w:val="auto"/>
          <w:szCs w:val="24"/>
          <w:u w:val="single"/>
        </w:rPr>
        <w:t>ISSUE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 - </w:t>
      </w:r>
      <w:r w:rsidRPr="009C4601">
        <w:rPr>
          <w:rFonts w:ascii="Times New Roman" w:hAnsi="Times New Roman" w:cs="Times New Roman"/>
          <w:color w:val="auto"/>
          <w:szCs w:val="24"/>
        </w:rPr>
        <w:t>What capital structure should be used for determining</w:t>
      </w:r>
      <w:r w:rsidR="00801AEA" w:rsidRPr="009C4601">
        <w:rPr>
          <w:rFonts w:ascii="Times New Roman" w:hAnsi="Times New Roman" w:cs="Times New Roman"/>
          <w:color w:val="auto"/>
          <w:szCs w:val="24"/>
        </w:rPr>
        <w:t xml:space="preserve"> </w:t>
      </w:r>
      <w:r w:rsidRPr="009C4601">
        <w:rPr>
          <w:rFonts w:ascii="Times New Roman" w:hAnsi="Times New Roman" w:cs="Times New Roman"/>
          <w:color w:val="auto"/>
          <w:szCs w:val="24"/>
        </w:rPr>
        <w:t>rate of return?</w:t>
      </w:r>
    </w:p>
    <w:p w:rsidR="00801AEA" w:rsidRPr="00801AEA" w:rsidRDefault="00293013" w:rsidP="00801AEA">
      <w:pPr>
        <w:rPr>
          <w:rFonts w:ascii="Times New Roman" w:hAnsi="Times New Roman" w:cs="Times New Roman"/>
          <w:szCs w:val="24"/>
        </w:rPr>
      </w:pP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DOE/NNSA/FEA 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</w:t>
      </w:r>
      <w:r w:rsidRPr="001E2EB1">
        <w:rPr>
          <w:rFonts w:ascii="Times New Roman" w:hAnsi="Times New Roman" w:cs="Times New Roman"/>
          <w:b/>
          <w:bCs/>
          <w:color w:val="auto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T</w:t>
      </w:r>
      <w:r w:rsidRPr="00801AEA">
        <w:rPr>
          <w:rFonts w:ascii="Times New Roman" w:hAnsi="Times New Roman" w:cs="Times New Roman"/>
          <w:szCs w:val="24"/>
        </w:rPr>
        <w:t>he Company’s proposal</w:t>
      </w:r>
      <w:r>
        <w:rPr>
          <w:rFonts w:ascii="Times New Roman" w:hAnsi="Times New Roman" w:cs="Times New Roman"/>
          <w:szCs w:val="24"/>
        </w:rPr>
        <w:t xml:space="preserve"> to</w:t>
      </w:r>
      <w:r w:rsidRPr="00801AEA">
        <w:rPr>
          <w:rFonts w:ascii="Times New Roman" w:hAnsi="Times New Roman" w:cs="Times New Roman"/>
          <w:szCs w:val="24"/>
        </w:rPr>
        <w:t xml:space="preserve"> increase </w:t>
      </w:r>
      <w:r>
        <w:rPr>
          <w:rFonts w:ascii="Times New Roman" w:hAnsi="Times New Roman" w:cs="Times New Roman"/>
          <w:szCs w:val="24"/>
        </w:rPr>
        <w:t>its</w:t>
      </w:r>
      <w:r w:rsidRPr="00801AEA">
        <w:rPr>
          <w:rFonts w:ascii="Times New Roman" w:hAnsi="Times New Roman" w:cs="Times New Roman"/>
          <w:szCs w:val="24"/>
        </w:rPr>
        <w:t xml:space="preserve"> common equity ratio from 45.51% to 52.475% should be rejected. </w:t>
      </w:r>
      <w:r w:rsidR="002F6173">
        <w:rPr>
          <w:rFonts w:ascii="Times New Roman" w:hAnsi="Times New Roman" w:cs="Times New Roman"/>
          <w:szCs w:val="24"/>
        </w:rPr>
        <w:t>(Kahal direct</w:t>
      </w:r>
      <w:r w:rsidR="00AA0F6D">
        <w:rPr>
          <w:rFonts w:ascii="Times New Roman" w:hAnsi="Times New Roman" w:cs="Times New Roman"/>
          <w:szCs w:val="24"/>
        </w:rPr>
        <w:t xml:space="preserve"> testimony</w:t>
      </w:r>
      <w:r w:rsidR="005576B7">
        <w:rPr>
          <w:rFonts w:ascii="Times New Roman" w:hAnsi="Times New Roman" w:cs="Times New Roman"/>
          <w:szCs w:val="24"/>
        </w:rPr>
        <w:t>)  T</w:t>
      </w:r>
      <w:r w:rsidR="005576B7" w:rsidRPr="00801AEA">
        <w:rPr>
          <w:rFonts w:ascii="Times New Roman" w:hAnsi="Times New Roman" w:cs="Times New Roman"/>
          <w:szCs w:val="24"/>
        </w:rPr>
        <w:t>he Company’s proposal</w:t>
      </w:r>
      <w:r w:rsidR="005576B7">
        <w:rPr>
          <w:rFonts w:ascii="Times New Roman" w:hAnsi="Times New Roman" w:cs="Times New Roman"/>
          <w:szCs w:val="24"/>
        </w:rPr>
        <w:t xml:space="preserve"> to remove Other Comprehensive Income (“OCI”) from GPE actual equity balance should be rejected. (Kahal surrebuttal</w:t>
      </w:r>
      <w:r w:rsidR="00E940CF">
        <w:rPr>
          <w:rFonts w:ascii="Times New Roman" w:hAnsi="Times New Roman" w:cs="Times New Roman"/>
          <w:szCs w:val="24"/>
        </w:rPr>
        <w:t xml:space="preserve"> testimony</w:t>
      </w:r>
      <w:r w:rsidR="005576B7">
        <w:rPr>
          <w:rFonts w:ascii="Times New Roman" w:hAnsi="Times New Roman" w:cs="Times New Roman"/>
          <w:szCs w:val="24"/>
        </w:rPr>
        <w:t xml:space="preserve">)  </w:t>
      </w:r>
    </w:p>
    <w:p w:rsidR="00801AEA" w:rsidRPr="005576B7" w:rsidRDefault="00801AEA" w:rsidP="00801AEA">
      <w:pPr>
        <w:rPr>
          <w:rFonts w:ascii="Times New Roman" w:hAnsi="Times New Roman" w:cs="Times New Roman"/>
          <w:b/>
          <w:szCs w:val="24"/>
          <w:u w:val="single"/>
        </w:rPr>
      </w:pPr>
    </w:p>
    <w:p w:rsidR="00440927" w:rsidRDefault="00440927" w:rsidP="009614B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</w:rPr>
      </w:pPr>
    </w:p>
    <w:p w:rsidR="002E4788" w:rsidRDefault="002E4788" w:rsidP="009614B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Cs w:val="24"/>
        </w:rPr>
      </w:pPr>
    </w:p>
    <w:p w:rsidR="0057112B" w:rsidRDefault="0057112B" w:rsidP="009614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</w:p>
    <w:p w:rsidR="002E4788" w:rsidRPr="002E4788" w:rsidRDefault="002E4788" w:rsidP="009614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</w:rPr>
      </w:pPr>
      <w:r w:rsidRPr="002E4788">
        <w:rPr>
          <w:rFonts w:ascii="Times New Roman" w:hAnsi="Times New Roman" w:cs="Times New Roman"/>
          <w:color w:val="auto"/>
          <w:szCs w:val="24"/>
        </w:rPr>
        <w:t>Respectfully submitted,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  <w:u w:val="single"/>
        </w:rPr>
      </w:pP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  <w:i/>
          <w:u w:val="single"/>
        </w:rPr>
      </w:pPr>
      <w:r w:rsidRPr="00736D55">
        <w:rPr>
          <w:rFonts w:ascii="Times New Roman" w:hAnsi="Times New Roman" w:cs="Times New Roman"/>
          <w:i/>
          <w:u w:val="single"/>
        </w:rPr>
        <w:t>___________</w:t>
      </w:r>
      <w:r w:rsidR="00D4736E">
        <w:rPr>
          <w:rFonts w:ascii="Times New Roman" w:hAnsi="Times New Roman" w:cs="Times New Roman"/>
          <w:u w:val="single"/>
        </w:rPr>
        <w:t>_</w:t>
      </w:r>
      <w:r w:rsidRPr="00736D55">
        <w:rPr>
          <w:rFonts w:ascii="Times New Roman" w:hAnsi="Times New Roman" w:cs="Times New Roman"/>
          <w:i/>
          <w:u w:val="single"/>
        </w:rPr>
        <w:t>___</w:t>
      </w:r>
      <w:r w:rsidRPr="00736D55">
        <w:rPr>
          <w:rFonts w:ascii="Times New Roman" w:hAnsi="Times New Roman" w:cs="Times New Roman"/>
          <w:u w:val="single"/>
        </w:rPr>
        <w:t>_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>Arthur Perry Bruder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>Attorney for U</w:t>
      </w:r>
      <w:r w:rsidR="00D4736E">
        <w:rPr>
          <w:rFonts w:ascii="Times New Roman" w:hAnsi="Times New Roman" w:cs="Times New Roman"/>
        </w:rPr>
        <w:t>.</w:t>
      </w:r>
      <w:r w:rsidRPr="00736D55">
        <w:rPr>
          <w:rFonts w:ascii="Times New Roman" w:hAnsi="Times New Roman" w:cs="Times New Roman"/>
        </w:rPr>
        <w:t xml:space="preserve"> S</w:t>
      </w:r>
      <w:r w:rsidR="00D4736E">
        <w:rPr>
          <w:rFonts w:ascii="Times New Roman" w:hAnsi="Times New Roman" w:cs="Times New Roman"/>
        </w:rPr>
        <w:t xml:space="preserve">. </w:t>
      </w:r>
      <w:r w:rsidRPr="00736D55">
        <w:rPr>
          <w:rFonts w:ascii="Times New Roman" w:hAnsi="Times New Roman" w:cs="Times New Roman"/>
        </w:rPr>
        <w:t xml:space="preserve">Department of Energy  </w:t>
      </w:r>
    </w:p>
    <w:p w:rsidR="002E3881" w:rsidRPr="00736D55" w:rsidRDefault="002E3881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 w:rsidRPr="00736D55">
        <w:rPr>
          <w:rFonts w:ascii="Times New Roman" w:hAnsi="Times New Roman" w:cs="Times New Roman"/>
        </w:rPr>
        <w:t xml:space="preserve">202-586-3409                                                                                   </w:t>
      </w:r>
    </w:p>
    <w:p w:rsidR="002E3881" w:rsidRPr="00736D55" w:rsidRDefault="006C3BB6" w:rsidP="002E3881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arthur.bruder@hq.doe.gov</w:t>
      </w:r>
      <w:r w:rsidR="002E3881" w:rsidRPr="00736D5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  <w:r w:rsidRPr="00736D55">
        <w:rPr>
          <w:rFonts w:ascii="Times New Roman" w:hAnsi="Times New Roman" w:cs="Times New Roman"/>
          <w:szCs w:val="24"/>
        </w:rPr>
        <w:tab/>
      </w:r>
      <w:r w:rsidR="002E4788">
        <w:rPr>
          <w:rFonts w:ascii="Times New Roman" w:hAnsi="Times New Roman" w:cs="Times New Roman"/>
          <w:szCs w:val="24"/>
        </w:rPr>
        <w:t>202-586-3409</w:t>
      </w:r>
      <w:r w:rsidRPr="00736D55">
        <w:rPr>
          <w:rFonts w:ascii="Times New Roman" w:hAnsi="Times New Roman" w:cs="Times New Roman"/>
          <w:szCs w:val="24"/>
        </w:rPr>
        <w:tab/>
      </w:r>
      <w:r w:rsidRPr="00736D55">
        <w:rPr>
          <w:rFonts w:ascii="Times New Roman" w:hAnsi="Times New Roman" w:cs="Times New Roman"/>
          <w:szCs w:val="24"/>
        </w:rPr>
        <w:tab/>
      </w:r>
      <w:r w:rsidRPr="00736D55">
        <w:rPr>
          <w:rFonts w:ascii="Times New Roman" w:hAnsi="Times New Roman" w:cs="Times New Roman"/>
          <w:szCs w:val="24"/>
        </w:rPr>
        <w:tab/>
      </w:r>
    </w:p>
    <w:p w:rsidR="002E4788" w:rsidRPr="00736D55" w:rsidRDefault="002E4788" w:rsidP="002E478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12, 2012</w:t>
      </w: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57301C">
      <w:pPr>
        <w:ind w:left="-720"/>
        <w:jc w:val="center"/>
        <w:rPr>
          <w:rFonts w:ascii="Times New Roman" w:hAnsi="Times New Roman" w:cs="Times New Roman"/>
          <w:b/>
          <w:szCs w:val="24"/>
        </w:rPr>
      </w:pPr>
    </w:p>
    <w:p w:rsidR="0057301C" w:rsidRDefault="0057301C" w:rsidP="0057301C">
      <w:pPr>
        <w:ind w:left="-720"/>
        <w:jc w:val="center"/>
        <w:rPr>
          <w:rFonts w:ascii="Times New Roman" w:hAnsi="Times New Roman" w:cs="Times New Roman"/>
          <w:b/>
          <w:szCs w:val="24"/>
        </w:rPr>
      </w:pPr>
    </w:p>
    <w:p w:rsidR="002E3881" w:rsidRPr="0057301C" w:rsidRDefault="0057301C" w:rsidP="0057301C">
      <w:pPr>
        <w:ind w:left="-720"/>
        <w:jc w:val="center"/>
        <w:rPr>
          <w:rFonts w:ascii="Times New Roman" w:hAnsi="Times New Roman" w:cs="Times New Roman"/>
          <w:b/>
          <w:szCs w:val="24"/>
        </w:rPr>
      </w:pPr>
      <w:r w:rsidRPr="0057301C">
        <w:rPr>
          <w:rFonts w:ascii="Times New Roman" w:hAnsi="Times New Roman" w:cs="Times New Roman"/>
          <w:b/>
          <w:szCs w:val="24"/>
        </w:rPr>
        <w:t>CERTIFICATE OF SERVICE</w:t>
      </w:r>
    </w:p>
    <w:p w:rsidR="002E3881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I hereby certify that I sent a true and correct copy of the foregoing document via email on this 12</w:t>
      </w:r>
      <w:r w:rsidRPr="0057301C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day of October, </w:t>
      </w:r>
      <w:proofErr w:type="gramStart"/>
      <w:r>
        <w:rPr>
          <w:rFonts w:ascii="Times New Roman" w:hAnsi="Times New Roman" w:cs="Times New Roman"/>
          <w:szCs w:val="24"/>
        </w:rPr>
        <w:t>2012 .</w:t>
      </w:r>
      <w:proofErr w:type="gramEnd"/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</w:p>
    <w:p w:rsidR="0057301C" w:rsidRDefault="0057301C" w:rsidP="002E3881">
      <w:pPr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___________________</w:t>
      </w:r>
    </w:p>
    <w:p w:rsidR="0057301C" w:rsidRPr="00736D55" w:rsidRDefault="0057301C" w:rsidP="002E3881">
      <w:pPr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(s) Arthur Perry Bruder</w:t>
      </w: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p w:rsidR="002E3881" w:rsidRPr="00736D55" w:rsidRDefault="002E3881" w:rsidP="002B2F22">
      <w:pPr>
        <w:rPr>
          <w:rFonts w:ascii="Times New Roman" w:hAnsi="Times New Roman" w:cs="Times New Roman"/>
          <w:szCs w:val="24"/>
        </w:rPr>
      </w:pPr>
    </w:p>
    <w:p w:rsidR="002E3881" w:rsidRPr="00736D55" w:rsidRDefault="002E3881" w:rsidP="002E3881">
      <w:pPr>
        <w:ind w:left="-720"/>
        <w:rPr>
          <w:rFonts w:ascii="Times New Roman" w:hAnsi="Times New Roman" w:cs="Times New Roman"/>
          <w:szCs w:val="24"/>
        </w:rPr>
      </w:pPr>
    </w:p>
    <w:sectPr w:rsidR="002E3881" w:rsidRPr="00736D55" w:rsidSect="00801AEA">
      <w:headerReference w:type="default" r:id="rId8"/>
      <w:footerReference w:type="even" r:id="rId9"/>
      <w:footerReference w:type="default" r:id="rId10"/>
      <w:pgSz w:w="12240" w:h="15840"/>
      <w:pgMar w:top="720" w:right="1319" w:bottom="1440" w:left="131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13" w:rsidRDefault="00293013">
      <w:r>
        <w:separator/>
      </w:r>
    </w:p>
  </w:endnote>
  <w:endnote w:type="continuationSeparator" w:id="0">
    <w:p w:rsidR="00293013" w:rsidRDefault="0029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13" w:rsidRDefault="00FD4709" w:rsidP="002B2F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3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013" w:rsidRDefault="00293013" w:rsidP="006C3B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13" w:rsidRDefault="00FD4709" w:rsidP="002B2F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30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AC3">
      <w:rPr>
        <w:rStyle w:val="PageNumber"/>
        <w:noProof/>
      </w:rPr>
      <w:t>3</w:t>
    </w:r>
    <w:r>
      <w:rPr>
        <w:rStyle w:val="PageNumber"/>
      </w:rPr>
      <w:fldChar w:fldCharType="end"/>
    </w:r>
  </w:p>
  <w:p w:rsidR="00293013" w:rsidRDefault="00293013" w:rsidP="006C3B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13" w:rsidRDefault="00293013">
      <w:r>
        <w:separator/>
      </w:r>
    </w:p>
  </w:footnote>
  <w:footnote w:type="continuationSeparator" w:id="0">
    <w:p w:rsidR="00293013" w:rsidRDefault="00293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7F" w:rsidRDefault="000F4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0B0"/>
    <w:multiLevelType w:val="hybridMultilevel"/>
    <w:tmpl w:val="11C28284"/>
    <w:lvl w:ilvl="0" w:tplc="3DEAB9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34D23BF"/>
    <w:multiLevelType w:val="hybridMultilevel"/>
    <w:tmpl w:val="7944AD24"/>
    <w:lvl w:ilvl="0" w:tplc="05D8719A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81"/>
    <w:rsid w:val="00081D23"/>
    <w:rsid w:val="000939D6"/>
    <w:rsid w:val="000F4C7F"/>
    <w:rsid w:val="001D72E7"/>
    <w:rsid w:val="001E2EB1"/>
    <w:rsid w:val="00293013"/>
    <w:rsid w:val="002B2D1F"/>
    <w:rsid w:val="002B2F22"/>
    <w:rsid w:val="002D718F"/>
    <w:rsid w:val="002E3881"/>
    <w:rsid w:val="002E4788"/>
    <w:rsid w:val="002F6173"/>
    <w:rsid w:val="00385103"/>
    <w:rsid w:val="00394A86"/>
    <w:rsid w:val="003D6F48"/>
    <w:rsid w:val="0041270D"/>
    <w:rsid w:val="00440927"/>
    <w:rsid w:val="004D30FD"/>
    <w:rsid w:val="005175D0"/>
    <w:rsid w:val="005576B7"/>
    <w:rsid w:val="0057112B"/>
    <w:rsid w:val="0057301C"/>
    <w:rsid w:val="00580B95"/>
    <w:rsid w:val="00603E49"/>
    <w:rsid w:val="00686AC3"/>
    <w:rsid w:val="006C0E35"/>
    <w:rsid w:val="006C3BB6"/>
    <w:rsid w:val="006E6993"/>
    <w:rsid w:val="007107EF"/>
    <w:rsid w:val="00801AEA"/>
    <w:rsid w:val="008131A7"/>
    <w:rsid w:val="009614B6"/>
    <w:rsid w:val="009C4601"/>
    <w:rsid w:val="009F5E45"/>
    <w:rsid w:val="00A41E66"/>
    <w:rsid w:val="00A4783D"/>
    <w:rsid w:val="00AA0F6D"/>
    <w:rsid w:val="00AD7677"/>
    <w:rsid w:val="00B07DE6"/>
    <w:rsid w:val="00BD5AD6"/>
    <w:rsid w:val="00C4771B"/>
    <w:rsid w:val="00C62EB9"/>
    <w:rsid w:val="00D10E34"/>
    <w:rsid w:val="00D4736E"/>
    <w:rsid w:val="00D93FBC"/>
    <w:rsid w:val="00E43AD0"/>
    <w:rsid w:val="00E723C2"/>
    <w:rsid w:val="00E940CF"/>
    <w:rsid w:val="00ED0837"/>
    <w:rsid w:val="00EE7BB5"/>
    <w:rsid w:val="00F209F0"/>
    <w:rsid w:val="00F43940"/>
    <w:rsid w:val="00FD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81"/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E3881"/>
    <w:rPr>
      <w:rFonts w:ascii="Courier New" w:hAnsi="Courier New" w:cs="Courier New"/>
      <w:sz w:val="20"/>
    </w:rPr>
  </w:style>
  <w:style w:type="paragraph" w:styleId="BodyText">
    <w:name w:val="Body Text"/>
    <w:basedOn w:val="Normal"/>
    <w:rsid w:val="002E3881"/>
    <w:pPr>
      <w:autoSpaceDE w:val="0"/>
      <w:autoSpaceDN w:val="0"/>
      <w:adjustRightInd w:val="0"/>
      <w:spacing w:line="480" w:lineRule="auto"/>
    </w:pPr>
    <w:rPr>
      <w:color w:val="auto"/>
      <w:szCs w:val="24"/>
    </w:rPr>
  </w:style>
  <w:style w:type="paragraph" w:styleId="Footer">
    <w:name w:val="footer"/>
    <w:basedOn w:val="Normal"/>
    <w:rsid w:val="006C3B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BB6"/>
  </w:style>
  <w:style w:type="paragraph" w:styleId="Header">
    <w:name w:val="header"/>
    <w:basedOn w:val="Normal"/>
    <w:link w:val="HeaderChar"/>
    <w:rsid w:val="000F4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4C7F"/>
    <w:rPr>
      <w:rFonts w:ascii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1674C-78B1-4656-B9C1-9083ECC2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U.S. Department of Energy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subject/>
  <dc:creator>doe</dc:creator>
  <cp:keywords/>
  <dc:description/>
  <cp:lastModifiedBy>brudera</cp:lastModifiedBy>
  <cp:revision>2</cp:revision>
  <cp:lastPrinted>2012-10-12T19:47:00Z</cp:lastPrinted>
  <dcterms:created xsi:type="dcterms:W3CDTF">2012-10-15T20:05:00Z</dcterms:created>
  <dcterms:modified xsi:type="dcterms:W3CDTF">2012-10-15T20:05:00Z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-959927014</vt:i4>
  </property>
  <property fmtid="{D5CDD505-2E9C-101B-9397-08002B2CF9AE}" pid="3" name="_NewReviewCycle">
    <vt:lpwstr/>
  </property>
  <property fmtid="{D5CDD505-2E9C-101B-9397-08002B2CF9AE}" pid="4" name="_EmailSubject">
    <vt:lpwstr>MO PSC Doc. No. ER-2012-0174    U.S. Department of Energy's Statement of Position </vt:lpwstr>
  </property>
  <property fmtid="{D5CDD505-2E9C-101B-9397-08002B2CF9AE}" pid="5" name="_AuthorEmail">
    <vt:lpwstr>Arthur.Bruder@hq.doe.gov</vt:lpwstr>
  </property>
  <property fmtid="{D5CDD505-2E9C-101B-9397-08002B2CF9AE}" pid="6" name="_AuthorEmailDisplayName">
    <vt:lpwstr>Bruder, Arthur</vt:lpwstr>
  </property>
</Properties>
</file>