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81" w:rsidRPr="00A23B7B" w:rsidRDefault="00D84981" w:rsidP="00D84981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>BEFORE THE PUBLIC SERVICE COMMISSION</w:t>
      </w:r>
    </w:p>
    <w:p w:rsidR="00D84981" w:rsidRPr="00A23B7B" w:rsidRDefault="00D84981" w:rsidP="00D84981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>OF THE STATE OF MISSOURI</w:t>
      </w:r>
    </w:p>
    <w:p w:rsidR="00D84981" w:rsidRPr="00A23B7B" w:rsidRDefault="00D84981" w:rsidP="00D84981">
      <w:pPr>
        <w:spacing w:line="240" w:lineRule="auto"/>
        <w:ind w:left="0" w:firstLine="0"/>
        <w:jc w:val="left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 xml:space="preserve"> </w:t>
      </w:r>
    </w:p>
    <w:p w:rsidR="00D84981" w:rsidRPr="00E00E93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E00E93">
        <w:rPr>
          <w:rFonts w:eastAsiaTheme="minorHAnsi"/>
          <w:color w:val="auto"/>
          <w:szCs w:val="24"/>
        </w:rPr>
        <w:t xml:space="preserve">In the Matter of KCP&amp;L Great Missouri </w:t>
      </w:r>
      <w:proofErr w:type="gramStart"/>
      <w:r w:rsidRPr="00E00E93">
        <w:rPr>
          <w:rFonts w:eastAsiaTheme="minorHAnsi"/>
          <w:color w:val="auto"/>
          <w:szCs w:val="24"/>
        </w:rPr>
        <w:t>Operations )</w:t>
      </w:r>
      <w:proofErr w:type="gramEnd"/>
      <w:r w:rsidRPr="00E00E93">
        <w:rPr>
          <w:rFonts w:eastAsiaTheme="minorHAnsi"/>
          <w:color w:val="auto"/>
          <w:szCs w:val="24"/>
        </w:rPr>
        <w:t xml:space="preserve"> </w:t>
      </w:r>
    </w:p>
    <w:p w:rsidR="00D84981" w:rsidRPr="00E00E93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proofErr w:type="gramStart"/>
      <w:r w:rsidRPr="00E00E93">
        <w:rPr>
          <w:rFonts w:eastAsiaTheme="minorHAnsi"/>
          <w:color w:val="auto"/>
          <w:szCs w:val="24"/>
        </w:rPr>
        <w:t xml:space="preserve">Company’s Submission of its 2013 Renewable </w:t>
      </w:r>
      <w:r>
        <w:rPr>
          <w:rFonts w:eastAsiaTheme="minorHAnsi"/>
          <w:color w:val="auto"/>
          <w:szCs w:val="24"/>
        </w:rPr>
        <w:tab/>
      </w:r>
      <w:r w:rsidRPr="00E00E93">
        <w:rPr>
          <w:rFonts w:eastAsiaTheme="minorHAnsi"/>
          <w:color w:val="auto"/>
          <w:szCs w:val="24"/>
        </w:rPr>
        <w:t>)</w:t>
      </w:r>
      <w:r>
        <w:rPr>
          <w:rFonts w:eastAsiaTheme="minorHAnsi"/>
          <w:color w:val="auto"/>
          <w:szCs w:val="24"/>
        </w:rPr>
        <w:tab/>
        <w:t>File No.</w:t>
      </w:r>
      <w:proofErr w:type="gramEnd"/>
      <w:r>
        <w:rPr>
          <w:rFonts w:eastAsiaTheme="minorHAnsi"/>
          <w:color w:val="auto"/>
          <w:szCs w:val="24"/>
        </w:rPr>
        <w:t xml:space="preserve"> EO-2014-0288</w:t>
      </w:r>
      <w:r w:rsidRPr="00E00E93">
        <w:rPr>
          <w:rFonts w:eastAsiaTheme="minorHAnsi"/>
          <w:color w:val="auto"/>
          <w:szCs w:val="24"/>
        </w:rPr>
        <w:t xml:space="preserve"> </w:t>
      </w:r>
    </w:p>
    <w:p w:rsidR="00D84981" w:rsidRPr="00C05A9C" w:rsidRDefault="00D84981" w:rsidP="00D84981">
      <w:pPr>
        <w:spacing w:line="480" w:lineRule="auto"/>
        <w:ind w:left="2880" w:hanging="2880"/>
        <w:rPr>
          <w:rFonts w:eastAsiaTheme="minorHAnsi"/>
          <w:color w:val="auto"/>
          <w:szCs w:val="24"/>
          <w:u w:val="single"/>
        </w:rPr>
      </w:pPr>
      <w:r w:rsidRPr="00E00E93">
        <w:rPr>
          <w:rFonts w:eastAsiaTheme="minorHAnsi"/>
          <w:color w:val="auto"/>
          <w:szCs w:val="24"/>
        </w:rPr>
        <w:t xml:space="preserve">Energy Standard Compliance </w:t>
      </w:r>
      <w:r>
        <w:rPr>
          <w:rFonts w:eastAsiaTheme="minorHAnsi"/>
          <w:color w:val="auto"/>
          <w:szCs w:val="24"/>
        </w:rPr>
        <w:t>Plan</w:t>
      </w:r>
      <w:r w:rsidRPr="00E00E93">
        <w:rPr>
          <w:rFonts w:eastAsiaTheme="minorHAnsi"/>
          <w:color w:val="auto"/>
          <w:szCs w:val="24"/>
        </w:rPr>
        <w:t xml:space="preserve"> </w:t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 w:rsidRPr="00E00E93">
        <w:rPr>
          <w:rFonts w:eastAsiaTheme="minorHAnsi"/>
          <w:color w:val="auto"/>
          <w:szCs w:val="24"/>
        </w:rPr>
        <w:t>)</w:t>
      </w:r>
      <w:r w:rsidRPr="00A23B7B">
        <w:rPr>
          <w:rFonts w:eastAsiaTheme="minorHAnsi"/>
          <w:color w:val="auto"/>
          <w:szCs w:val="24"/>
        </w:rPr>
        <w:cr/>
      </w: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D84981" w:rsidRPr="00C05A9C" w:rsidRDefault="00D84981" w:rsidP="00D84981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D84981" w:rsidRPr="00C05A9C" w:rsidRDefault="00D84981" w:rsidP="00D84981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 xml:space="preserve">MOSEIA is an industry trade organization, organized as a non-profit corporation under the laws of Missouri, and is active and in good standing in Missouri. </w:t>
      </w:r>
      <w:r>
        <w:t>MOSEIA has its principal place of business at P.O. Box 434040, St. Louis, MO 63143</w:t>
      </w:r>
      <w:r w:rsidRPr="00C05A9C">
        <w:rPr>
          <w:szCs w:val="26"/>
        </w:rPr>
        <w:t>.</w:t>
      </w:r>
    </w:p>
    <w:p w:rsidR="00D84981" w:rsidRPr="005F68E8" w:rsidRDefault="00D84981" w:rsidP="00D84981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 xml:space="preserve">instrumental in the passage of House Bill 142, which revised the Missouri Renewable Energy Standard §393.1030 RSMo., et. seq.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  <w:r>
        <w:rPr>
          <w:szCs w:val="26"/>
        </w:rPr>
        <w:t xml:space="preserve"> </w:t>
      </w:r>
    </w:p>
    <w:p w:rsidR="00D84981" w:rsidRPr="00C05A9C" w:rsidRDefault="00D84981" w:rsidP="00D84981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D84981" w:rsidRPr="00C05A9C" w:rsidRDefault="00D84981" w:rsidP="00D84981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D84981" w:rsidRPr="00C05A9C" w:rsidRDefault="00D84981" w:rsidP="00D84981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 xml:space="preserve">WHEREFORE, MOSEIA requests that it be permitted to intervene and be made a party </w:t>
      </w:r>
      <w:proofErr w:type="gramStart"/>
      <w:r w:rsidRPr="00C05A9C">
        <w:rPr>
          <w:rFonts w:eastAsiaTheme="minorHAnsi"/>
          <w:color w:val="auto"/>
          <w:szCs w:val="24"/>
        </w:rPr>
        <w:t>to</w:t>
      </w:r>
      <w:proofErr w:type="gramEnd"/>
      <w:r w:rsidRPr="00C05A9C">
        <w:rPr>
          <w:rFonts w:eastAsiaTheme="minorHAnsi"/>
          <w:color w:val="auto"/>
          <w:szCs w:val="24"/>
        </w:rPr>
        <w:t xml:space="preserve"> this case for all purposes.</w:t>
      </w:r>
    </w:p>
    <w:p w:rsidR="00D84981" w:rsidRPr="00C05A9C" w:rsidRDefault="00D84981" w:rsidP="00D84981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D84981" w:rsidRPr="00C05A9C" w:rsidRDefault="00D84981" w:rsidP="00D84981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D84981" w:rsidRPr="00C05A9C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D84981" w:rsidRPr="00C05A9C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D84981" w:rsidRPr="00C05A9C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D84981" w:rsidRPr="00C05A9C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D84981" w:rsidRPr="00C05A9C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D84981" w:rsidRPr="00C05A9C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D84981" w:rsidRPr="00C05A9C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D84981" w:rsidRPr="00C05A9C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D84981" w:rsidRPr="00C05A9C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D84981" w:rsidRPr="00C05A9C" w:rsidRDefault="00D84981" w:rsidP="00D84981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D84981" w:rsidRPr="00C05A9C" w:rsidRDefault="00D84981" w:rsidP="00D84981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D84981" w:rsidRPr="00C05A9C" w:rsidRDefault="00D84981" w:rsidP="00D84981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D84981" w:rsidRPr="00C05A9C" w:rsidRDefault="00D84981" w:rsidP="00D84981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D84981" w:rsidRPr="00C05A9C" w:rsidRDefault="00D84981" w:rsidP="00D84981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2F28B9" w:rsidRPr="00C05A9C" w:rsidRDefault="00D84981" w:rsidP="002F28B9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 w:rsidR="002F28B9">
        <w:rPr>
          <w:color w:val="auto"/>
        </w:rPr>
        <w:t>22</w:t>
      </w:r>
      <w:r w:rsidR="002F28B9" w:rsidRPr="00A552D2">
        <w:rPr>
          <w:color w:val="auto"/>
          <w:vertAlign w:val="superscript"/>
        </w:rPr>
        <w:t>nd</w:t>
      </w:r>
      <w:r w:rsidR="002F28B9" w:rsidRPr="00C05A9C">
        <w:rPr>
          <w:color w:val="auto"/>
        </w:rPr>
        <w:t xml:space="preserve"> day of </w:t>
      </w:r>
      <w:r w:rsidR="002F28B9">
        <w:rPr>
          <w:color w:val="auto"/>
        </w:rPr>
        <w:t>April</w:t>
      </w:r>
      <w:r w:rsidR="002F28B9" w:rsidRPr="00C05A9C">
        <w:rPr>
          <w:color w:val="auto"/>
        </w:rPr>
        <w:t>, 201</w:t>
      </w:r>
      <w:r w:rsidR="002F28B9">
        <w:rPr>
          <w:color w:val="auto"/>
        </w:rPr>
        <w:t>4</w:t>
      </w:r>
      <w:r w:rsidR="002F28B9" w:rsidRPr="00C05A9C">
        <w:rPr>
          <w:color w:val="auto"/>
        </w:rPr>
        <w:t>.</w:t>
      </w:r>
    </w:p>
    <w:p w:rsidR="00D84981" w:rsidRPr="00C05A9C" w:rsidRDefault="00D84981" w:rsidP="00D84981">
      <w:pPr>
        <w:spacing w:line="240" w:lineRule="auto"/>
        <w:ind w:left="0" w:firstLine="720"/>
        <w:jc w:val="left"/>
        <w:rPr>
          <w:color w:val="auto"/>
        </w:rPr>
      </w:pPr>
    </w:p>
    <w:p w:rsidR="00D84981" w:rsidRPr="00C05A9C" w:rsidRDefault="00D84981" w:rsidP="00D84981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D84981" w:rsidRPr="00C05A9C" w:rsidRDefault="00D84981" w:rsidP="00D84981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D84981" w:rsidRDefault="00D84981" w:rsidP="00D84981"/>
    <w:p w:rsidR="00D84981" w:rsidRDefault="00D84981" w:rsidP="00D84981"/>
    <w:p w:rsidR="00D84981" w:rsidRDefault="00D84981" w:rsidP="00D84981"/>
    <w:p w:rsidR="00D84981" w:rsidRDefault="00D84981" w:rsidP="00D84981"/>
    <w:p w:rsidR="00B16B2A" w:rsidRDefault="00B16B2A">
      <w:bookmarkStart w:id="0" w:name="_GoBack"/>
      <w:bookmarkEnd w:id="0"/>
    </w:p>
    <w:sectPr w:rsidR="00B16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1"/>
    <w:rsid w:val="002F28B9"/>
    <w:rsid w:val="008A7DD9"/>
    <w:rsid w:val="00B16B2A"/>
    <w:rsid w:val="00D8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81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81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2014-04-22T22:15:00Z</dcterms:created>
  <dcterms:modified xsi:type="dcterms:W3CDTF">2014-04-22T22:15:00Z</dcterms:modified>
</cp:coreProperties>
</file>