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7735" w14:textId="77777777" w:rsidR="008E1296" w:rsidRPr="00CA4816" w:rsidRDefault="008E1296" w:rsidP="008E1296">
      <w:pPr>
        <w:pStyle w:val="NoSpacing"/>
        <w:jc w:val="center"/>
        <w:rPr>
          <w:rFonts w:cs="Times New Roman"/>
          <w:b/>
          <w:szCs w:val="24"/>
        </w:rPr>
      </w:pPr>
      <w:r w:rsidRPr="00CA4816">
        <w:rPr>
          <w:rFonts w:cs="Times New Roman"/>
          <w:b/>
          <w:szCs w:val="24"/>
        </w:rPr>
        <w:t>BEFORE THE PUBLIC SERVICE COMMISSION</w:t>
      </w:r>
    </w:p>
    <w:p w14:paraId="29ACF3AA" w14:textId="77777777" w:rsidR="008E1296" w:rsidRPr="00CA4816" w:rsidRDefault="008E1296" w:rsidP="008E1296">
      <w:pPr>
        <w:pStyle w:val="NoSpacing"/>
        <w:jc w:val="center"/>
        <w:rPr>
          <w:rFonts w:cs="Times New Roman"/>
          <w:b/>
          <w:szCs w:val="24"/>
        </w:rPr>
      </w:pPr>
      <w:r w:rsidRPr="00CA4816">
        <w:rPr>
          <w:rFonts w:cs="Times New Roman"/>
          <w:b/>
          <w:szCs w:val="24"/>
        </w:rPr>
        <w:t>OF THE STATE OF MISSOURI</w:t>
      </w:r>
    </w:p>
    <w:p w14:paraId="6B0C7834" w14:textId="77777777" w:rsidR="008E1296" w:rsidRPr="00CA4816" w:rsidRDefault="008E1296" w:rsidP="008E1296">
      <w:pPr>
        <w:pStyle w:val="NoSpacing"/>
        <w:rPr>
          <w:rFonts w:cs="Times New Roman"/>
          <w:szCs w:val="24"/>
        </w:rPr>
      </w:pPr>
    </w:p>
    <w:p w14:paraId="586C4C9D" w14:textId="77777777" w:rsidR="008E1296" w:rsidRPr="00CA4816" w:rsidRDefault="008E1296" w:rsidP="008E1296">
      <w:pPr>
        <w:pStyle w:val="NoSpacing"/>
        <w:rPr>
          <w:rFonts w:cs="Times New Roman"/>
          <w:szCs w:val="24"/>
        </w:rPr>
      </w:pP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t>)</w:t>
      </w:r>
    </w:p>
    <w:p w14:paraId="4DC40843" w14:textId="77777777" w:rsidR="008E1296" w:rsidRPr="00CA4816" w:rsidRDefault="008E1296" w:rsidP="008E1296">
      <w:pPr>
        <w:pStyle w:val="NoSpacing"/>
        <w:rPr>
          <w:rFonts w:cs="Times New Roman"/>
          <w:szCs w:val="24"/>
        </w:rPr>
      </w:pPr>
      <w:r w:rsidRPr="00CA4816">
        <w:rPr>
          <w:rFonts w:cs="Times New Roman"/>
          <w:szCs w:val="24"/>
        </w:rPr>
        <w:t xml:space="preserve">In the Matter of </w:t>
      </w:r>
      <w:r w:rsidR="009E357D" w:rsidRPr="00CA4816">
        <w:rPr>
          <w:rFonts w:cs="Times New Roman"/>
          <w:szCs w:val="24"/>
        </w:rPr>
        <w:t xml:space="preserve">Union Electric </w:t>
      </w:r>
      <w:r w:rsidRPr="00CA4816">
        <w:rPr>
          <w:rFonts w:cs="Times New Roman"/>
          <w:szCs w:val="24"/>
        </w:rPr>
        <w:tab/>
      </w:r>
      <w:r w:rsidRPr="00CA4816">
        <w:rPr>
          <w:rFonts w:cs="Times New Roman"/>
          <w:szCs w:val="24"/>
        </w:rPr>
        <w:tab/>
        <w:t>)</w:t>
      </w:r>
    </w:p>
    <w:p w14:paraId="747DDB63" w14:textId="77777777" w:rsidR="008E1296" w:rsidRPr="00CA4816" w:rsidRDefault="008E1296" w:rsidP="008E1296">
      <w:pPr>
        <w:pStyle w:val="NoSpacing"/>
        <w:rPr>
          <w:rFonts w:cs="Times New Roman"/>
          <w:szCs w:val="24"/>
        </w:rPr>
      </w:pPr>
      <w:r w:rsidRPr="00CA4816">
        <w:rPr>
          <w:rFonts w:cs="Times New Roman"/>
          <w:szCs w:val="24"/>
        </w:rPr>
        <w:t>Company</w:t>
      </w:r>
      <w:r w:rsidR="009E357D" w:rsidRPr="00CA4816">
        <w:rPr>
          <w:rFonts w:cs="Times New Roman"/>
          <w:szCs w:val="24"/>
        </w:rPr>
        <w:t xml:space="preserve"> d/b/a Ameren Missouri's</w:t>
      </w:r>
      <w:r w:rsidRPr="00CA4816">
        <w:rPr>
          <w:rFonts w:cs="Times New Roman"/>
          <w:szCs w:val="24"/>
        </w:rPr>
        <w:tab/>
      </w:r>
      <w:r w:rsidR="00CA4816">
        <w:rPr>
          <w:rFonts w:cs="Times New Roman"/>
          <w:szCs w:val="24"/>
        </w:rPr>
        <w:tab/>
      </w:r>
      <w:r w:rsidRPr="00CA4816">
        <w:rPr>
          <w:rFonts w:cs="Times New Roman"/>
          <w:szCs w:val="24"/>
        </w:rPr>
        <w:t>)</w:t>
      </w:r>
      <w:r w:rsidRPr="00CA4816">
        <w:rPr>
          <w:rFonts w:cs="Times New Roman"/>
          <w:szCs w:val="24"/>
        </w:rPr>
        <w:tab/>
      </w:r>
    </w:p>
    <w:p w14:paraId="1B565822" w14:textId="23F9B487" w:rsidR="008E1296" w:rsidRPr="00CA4816" w:rsidRDefault="00790BBE" w:rsidP="008E1296">
      <w:pPr>
        <w:pStyle w:val="NoSpacing"/>
        <w:rPr>
          <w:rFonts w:cs="Times New Roman"/>
          <w:szCs w:val="24"/>
        </w:rPr>
      </w:pPr>
      <w:r>
        <w:rPr>
          <w:rFonts w:cs="Times New Roman"/>
          <w:szCs w:val="24"/>
        </w:rPr>
        <w:t>3</w:t>
      </w:r>
      <w:r w:rsidRPr="00790BBE">
        <w:rPr>
          <w:rFonts w:cs="Times New Roman"/>
          <w:szCs w:val="24"/>
          <w:vertAlign w:val="superscript"/>
        </w:rPr>
        <w:t>rd</w:t>
      </w:r>
      <w:r>
        <w:rPr>
          <w:rFonts w:cs="Times New Roman"/>
          <w:szCs w:val="24"/>
        </w:rPr>
        <w:t xml:space="preserve"> </w:t>
      </w:r>
      <w:r w:rsidR="009E357D" w:rsidRPr="00CA4816">
        <w:rPr>
          <w:rFonts w:cs="Times New Roman"/>
          <w:szCs w:val="24"/>
        </w:rPr>
        <w:t xml:space="preserve">Filing to Implement Regulatory </w:t>
      </w:r>
      <w:r w:rsidR="008E1296" w:rsidRPr="00CA4816">
        <w:rPr>
          <w:rFonts w:cs="Times New Roman"/>
          <w:szCs w:val="24"/>
        </w:rPr>
        <w:tab/>
      </w:r>
      <w:r w:rsidR="00CA4816">
        <w:rPr>
          <w:rFonts w:cs="Times New Roman"/>
          <w:szCs w:val="24"/>
        </w:rPr>
        <w:tab/>
      </w:r>
      <w:r w:rsidR="008E1296" w:rsidRPr="00CA4816">
        <w:rPr>
          <w:rFonts w:cs="Times New Roman"/>
          <w:szCs w:val="24"/>
        </w:rPr>
        <w:t xml:space="preserve">) </w:t>
      </w:r>
      <w:r w:rsidR="008E1296" w:rsidRPr="00CA4816">
        <w:rPr>
          <w:rFonts w:cs="Times New Roman"/>
          <w:szCs w:val="24"/>
        </w:rPr>
        <w:tab/>
      </w:r>
      <w:r w:rsidR="009E357D" w:rsidRPr="00CA4816">
        <w:rPr>
          <w:rFonts w:cs="Times New Roman"/>
          <w:szCs w:val="24"/>
        </w:rPr>
        <w:t>File No. EO-201</w:t>
      </w:r>
      <w:r>
        <w:rPr>
          <w:rFonts w:cs="Times New Roman"/>
          <w:szCs w:val="24"/>
        </w:rPr>
        <w:t>8</w:t>
      </w:r>
      <w:r w:rsidR="009E357D" w:rsidRPr="00CA4816">
        <w:rPr>
          <w:rFonts w:cs="Times New Roman"/>
          <w:szCs w:val="24"/>
        </w:rPr>
        <w:t>-0</w:t>
      </w:r>
      <w:r>
        <w:rPr>
          <w:rFonts w:cs="Times New Roman"/>
          <w:szCs w:val="24"/>
        </w:rPr>
        <w:t>211</w:t>
      </w:r>
    </w:p>
    <w:p w14:paraId="5A7FCADF" w14:textId="77777777" w:rsidR="008E1296" w:rsidRPr="00CA4816" w:rsidRDefault="009E357D" w:rsidP="008E1296">
      <w:pPr>
        <w:pStyle w:val="NoSpacing"/>
        <w:rPr>
          <w:rFonts w:cs="Times New Roman"/>
          <w:szCs w:val="24"/>
        </w:rPr>
      </w:pPr>
      <w:r w:rsidRPr="00CA4816">
        <w:rPr>
          <w:rFonts w:cs="Times New Roman"/>
          <w:szCs w:val="24"/>
        </w:rPr>
        <w:t>Changes in Furtherance of Energy</w:t>
      </w:r>
      <w:r w:rsidR="008E1296" w:rsidRPr="00CA4816">
        <w:rPr>
          <w:rFonts w:cs="Times New Roman"/>
          <w:szCs w:val="24"/>
        </w:rPr>
        <w:tab/>
      </w:r>
      <w:r w:rsidR="00CA4816">
        <w:rPr>
          <w:rFonts w:cs="Times New Roman"/>
          <w:szCs w:val="24"/>
        </w:rPr>
        <w:tab/>
      </w:r>
      <w:r w:rsidR="008E1296" w:rsidRPr="00CA4816">
        <w:rPr>
          <w:rFonts w:cs="Times New Roman"/>
          <w:szCs w:val="24"/>
        </w:rPr>
        <w:t>)</w:t>
      </w:r>
      <w:r w:rsidR="008E1296" w:rsidRPr="00CA4816">
        <w:rPr>
          <w:rFonts w:cs="Times New Roman"/>
          <w:szCs w:val="24"/>
        </w:rPr>
        <w:tab/>
      </w:r>
    </w:p>
    <w:p w14:paraId="7396A187" w14:textId="77777777" w:rsidR="008E1296" w:rsidRPr="00CA4816" w:rsidRDefault="009E357D" w:rsidP="008E1296">
      <w:pPr>
        <w:pStyle w:val="NoSpacing"/>
        <w:rPr>
          <w:rFonts w:cs="Times New Roman"/>
          <w:szCs w:val="24"/>
        </w:rPr>
      </w:pPr>
      <w:r w:rsidRPr="00CA4816">
        <w:rPr>
          <w:rFonts w:cs="Times New Roman"/>
          <w:szCs w:val="24"/>
        </w:rPr>
        <w:t>Efficiency as Allowed by MEEIA.</w:t>
      </w:r>
      <w:r w:rsidRPr="00CA4816">
        <w:rPr>
          <w:rFonts w:cs="Times New Roman"/>
          <w:szCs w:val="24"/>
        </w:rPr>
        <w:tab/>
      </w:r>
      <w:r w:rsidR="008E1296" w:rsidRPr="00CA4816">
        <w:rPr>
          <w:rFonts w:cs="Times New Roman"/>
          <w:szCs w:val="24"/>
        </w:rPr>
        <w:tab/>
        <w:t>)</w:t>
      </w:r>
      <w:r w:rsidR="008E1296" w:rsidRPr="00CA4816">
        <w:rPr>
          <w:rFonts w:cs="Times New Roman"/>
          <w:szCs w:val="24"/>
        </w:rPr>
        <w:tab/>
      </w:r>
    </w:p>
    <w:p w14:paraId="74BFB40C" w14:textId="77777777" w:rsidR="008E1296" w:rsidRPr="00CA4816" w:rsidRDefault="008E1296" w:rsidP="008E1296">
      <w:pPr>
        <w:pStyle w:val="NoSpacing"/>
        <w:rPr>
          <w:rFonts w:cs="Times New Roman"/>
          <w:szCs w:val="24"/>
        </w:rPr>
      </w:pP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r>
      <w:r w:rsidRPr="00CA4816">
        <w:rPr>
          <w:rFonts w:cs="Times New Roman"/>
          <w:szCs w:val="24"/>
        </w:rPr>
        <w:tab/>
      </w:r>
    </w:p>
    <w:p w14:paraId="796B21DF" w14:textId="77777777" w:rsidR="008E1296" w:rsidRPr="00CA4816" w:rsidRDefault="008E1296" w:rsidP="008E1296">
      <w:pPr>
        <w:pStyle w:val="NoSpacing"/>
        <w:rPr>
          <w:rFonts w:cs="Times New Roman"/>
          <w:szCs w:val="24"/>
        </w:rPr>
      </w:pPr>
    </w:p>
    <w:p w14:paraId="21C1906F" w14:textId="5A471340" w:rsidR="00176C16" w:rsidRPr="00CA4816" w:rsidRDefault="0032306B" w:rsidP="00176C16">
      <w:pPr>
        <w:pStyle w:val="NoSpacing"/>
        <w:jc w:val="center"/>
        <w:rPr>
          <w:rFonts w:cs="Times New Roman"/>
          <w:b/>
          <w:szCs w:val="24"/>
          <w:u w:val="single"/>
        </w:rPr>
      </w:pPr>
      <w:r>
        <w:rPr>
          <w:rFonts w:cs="Times New Roman"/>
          <w:b/>
          <w:szCs w:val="24"/>
          <w:u w:val="single"/>
        </w:rPr>
        <w:t>STATUS REPORT</w:t>
      </w:r>
    </w:p>
    <w:p w14:paraId="2AC957F8" w14:textId="6FF8F557" w:rsidR="00176C16" w:rsidRPr="00CA4816" w:rsidRDefault="004A60F0" w:rsidP="00231318">
      <w:pPr>
        <w:spacing w:before="240" w:line="480" w:lineRule="auto"/>
        <w:jc w:val="both"/>
        <w:rPr>
          <w:rFonts w:cs="Times New Roman"/>
          <w:szCs w:val="24"/>
        </w:rPr>
      </w:pPr>
      <w:r w:rsidRPr="00CA4816">
        <w:rPr>
          <w:rFonts w:cs="Times New Roman"/>
          <w:szCs w:val="24"/>
        </w:rPr>
        <w:tab/>
      </w:r>
      <w:r w:rsidR="008E1296" w:rsidRPr="00CA4816">
        <w:rPr>
          <w:rFonts w:cs="Times New Roman"/>
          <w:b/>
          <w:szCs w:val="24"/>
        </w:rPr>
        <w:t>COME</w:t>
      </w:r>
      <w:r w:rsidR="002636CA" w:rsidRPr="00CA4816">
        <w:rPr>
          <w:rFonts w:cs="Times New Roman"/>
          <w:b/>
          <w:szCs w:val="24"/>
        </w:rPr>
        <w:t>S</w:t>
      </w:r>
      <w:r w:rsidR="008E1296" w:rsidRPr="00CA4816">
        <w:rPr>
          <w:rFonts w:cs="Times New Roman"/>
          <w:b/>
          <w:szCs w:val="24"/>
        </w:rPr>
        <w:t xml:space="preserve"> NOW </w:t>
      </w:r>
      <w:r w:rsidR="00ED56C8" w:rsidRPr="00CA4816">
        <w:rPr>
          <w:rFonts w:cs="Times New Roman"/>
          <w:szCs w:val="24"/>
        </w:rPr>
        <w:t>Union Electric Company d/b/a Ameren Missouri (</w:t>
      </w:r>
      <w:r w:rsidR="009E357D" w:rsidRPr="00CA4816">
        <w:rPr>
          <w:rFonts w:cs="Times New Roman"/>
          <w:szCs w:val="24"/>
        </w:rPr>
        <w:t>"</w:t>
      </w:r>
      <w:r w:rsidR="00ED56C8" w:rsidRPr="00CA4816">
        <w:rPr>
          <w:rFonts w:cs="Times New Roman"/>
          <w:szCs w:val="24"/>
        </w:rPr>
        <w:t>Ameren Missouri</w:t>
      </w:r>
      <w:r w:rsidR="009E357D" w:rsidRPr="00CA4816">
        <w:rPr>
          <w:rFonts w:cs="Times New Roman"/>
          <w:szCs w:val="24"/>
        </w:rPr>
        <w:t>" or "Company"</w:t>
      </w:r>
      <w:r w:rsidR="00ED56C8" w:rsidRPr="00CA4816">
        <w:rPr>
          <w:rFonts w:cs="Times New Roman"/>
          <w:szCs w:val="24"/>
        </w:rPr>
        <w:t xml:space="preserve">) </w:t>
      </w:r>
      <w:r w:rsidR="002636CA" w:rsidRPr="00CA4816">
        <w:rPr>
          <w:rFonts w:cs="Times New Roman"/>
          <w:szCs w:val="24"/>
        </w:rPr>
        <w:t>on behalf of</w:t>
      </w:r>
      <w:r w:rsidR="00ED56C8" w:rsidRPr="00CA4816">
        <w:rPr>
          <w:rFonts w:cs="Times New Roman"/>
          <w:szCs w:val="24"/>
        </w:rPr>
        <w:t xml:space="preserve"> </w:t>
      </w:r>
      <w:r w:rsidR="00245190">
        <w:rPr>
          <w:rFonts w:cs="Times New Roman"/>
          <w:szCs w:val="24"/>
        </w:rPr>
        <w:t>itself</w:t>
      </w:r>
      <w:r w:rsidR="009E357D" w:rsidRPr="00CA4816">
        <w:rPr>
          <w:rFonts w:cs="Times New Roman"/>
          <w:szCs w:val="24"/>
        </w:rPr>
        <w:t>,</w:t>
      </w:r>
      <w:r w:rsidR="00245190">
        <w:rPr>
          <w:rFonts w:cs="Times New Roman"/>
          <w:szCs w:val="24"/>
        </w:rPr>
        <w:t xml:space="preserve"> </w:t>
      </w:r>
      <w:r w:rsidR="00245190" w:rsidRPr="000A1B15">
        <w:rPr>
          <w:rFonts w:cs="Times New Roman"/>
          <w:szCs w:val="24"/>
        </w:rPr>
        <w:t>the</w:t>
      </w:r>
      <w:r w:rsidR="008E1296" w:rsidRPr="000A1B15">
        <w:rPr>
          <w:rFonts w:cs="Times New Roman"/>
          <w:szCs w:val="24"/>
        </w:rPr>
        <w:t xml:space="preserve"> </w:t>
      </w:r>
      <w:r w:rsidR="00ED56C8" w:rsidRPr="000A1B15">
        <w:rPr>
          <w:rFonts w:cs="Times New Roman"/>
          <w:szCs w:val="24"/>
        </w:rPr>
        <w:t>Staff of the Missouri Public Service Commission (</w:t>
      </w:r>
      <w:r w:rsidR="009E357D" w:rsidRPr="000A1B15">
        <w:rPr>
          <w:rFonts w:cs="Times New Roman"/>
          <w:szCs w:val="24"/>
        </w:rPr>
        <w:t>"</w:t>
      </w:r>
      <w:r w:rsidR="00ED56C8" w:rsidRPr="000A1B15">
        <w:rPr>
          <w:rFonts w:cs="Times New Roman"/>
          <w:szCs w:val="24"/>
        </w:rPr>
        <w:t>Staff</w:t>
      </w:r>
      <w:r w:rsidR="009E357D" w:rsidRPr="000A1B15">
        <w:rPr>
          <w:rFonts w:cs="Times New Roman"/>
          <w:szCs w:val="24"/>
        </w:rPr>
        <w:t>"</w:t>
      </w:r>
      <w:r w:rsidR="00ED56C8" w:rsidRPr="000A1B15">
        <w:rPr>
          <w:rFonts w:cs="Times New Roman"/>
          <w:szCs w:val="24"/>
        </w:rPr>
        <w:t>)</w:t>
      </w:r>
      <w:r w:rsidR="009E357D" w:rsidRPr="000A1B15">
        <w:rPr>
          <w:rFonts w:cs="Times New Roman"/>
          <w:szCs w:val="24"/>
        </w:rPr>
        <w:t>,</w:t>
      </w:r>
      <w:r w:rsidR="008E1296" w:rsidRPr="000A1B15">
        <w:rPr>
          <w:rFonts w:cs="Times New Roman"/>
          <w:szCs w:val="24"/>
        </w:rPr>
        <w:t xml:space="preserve"> </w:t>
      </w:r>
      <w:r w:rsidR="00790BBE" w:rsidRPr="000A1B15">
        <w:rPr>
          <w:rFonts w:cs="Times New Roman"/>
          <w:szCs w:val="24"/>
        </w:rPr>
        <w:t>the Office of the Public Counsel ("OPC"), Consumers Council of Missouri ("CCM"), Kansas City Power &amp; Light Company ("KCPL"),</w:t>
      </w:r>
      <w:r w:rsidR="0032306B">
        <w:rPr>
          <w:rFonts w:cs="Times New Roman"/>
          <w:szCs w:val="24"/>
        </w:rPr>
        <w:t xml:space="preserve"> KCP&amp;L Greater Missouri Operations Company ("GMO"),</w:t>
      </w:r>
      <w:r w:rsidR="00790BBE" w:rsidRPr="000A1B15">
        <w:rPr>
          <w:rFonts w:cs="Times New Roman"/>
          <w:szCs w:val="24"/>
        </w:rPr>
        <w:t xml:space="preserve"> Midwest Energy Consumers Group ("MECG"), </w:t>
      </w:r>
      <w:r w:rsidR="008E1296" w:rsidRPr="000A1B15">
        <w:rPr>
          <w:rFonts w:cs="Times New Roman"/>
          <w:szCs w:val="24"/>
        </w:rPr>
        <w:t>Missouri Division of Energy</w:t>
      </w:r>
      <w:r w:rsidR="009E357D" w:rsidRPr="000A1B15">
        <w:rPr>
          <w:rFonts w:cs="Times New Roman"/>
          <w:szCs w:val="24"/>
        </w:rPr>
        <w:t xml:space="preserve"> ("DE"),</w:t>
      </w:r>
      <w:r w:rsidR="009B7051" w:rsidRPr="000A1B15">
        <w:rPr>
          <w:rFonts w:cs="Times New Roman"/>
          <w:szCs w:val="24"/>
        </w:rPr>
        <w:t xml:space="preserve"> </w:t>
      </w:r>
      <w:r w:rsidR="00790BBE" w:rsidRPr="000A1B15">
        <w:rPr>
          <w:rFonts w:cs="Times New Roman"/>
          <w:szCs w:val="24"/>
        </w:rPr>
        <w:t>National Housing Trust ("NHT</w:t>
      </w:r>
      <w:r w:rsidR="009E357D" w:rsidRPr="000A1B15">
        <w:rPr>
          <w:rFonts w:cs="Times New Roman"/>
          <w:szCs w:val="24"/>
        </w:rPr>
        <w:t>")</w:t>
      </w:r>
      <w:r w:rsidR="00790BBE" w:rsidRPr="000A1B15">
        <w:rPr>
          <w:rFonts w:cs="Times New Roman"/>
          <w:szCs w:val="24"/>
        </w:rPr>
        <w:t>, Natural Resources Defense Council ("NRDC"), Renew Missouri Advocates d/b/a Renew Missouri ("Renew Missouri"), Spire Missouri, Inc. ("Spire"), and Tower Grove Neighborhood Community Development Corporation ("Tower Grove")</w:t>
      </w:r>
      <w:r w:rsidR="009B7051" w:rsidRPr="000A1B15">
        <w:rPr>
          <w:rFonts w:cs="Times New Roman"/>
          <w:szCs w:val="24"/>
        </w:rPr>
        <w:t>,</w:t>
      </w:r>
      <w:r w:rsidR="00790BBE">
        <w:rPr>
          <w:rFonts w:cs="Times New Roman"/>
          <w:szCs w:val="24"/>
        </w:rPr>
        <w:t xml:space="preserve"> known collectively herein as "the Parties,"</w:t>
      </w:r>
      <w:r w:rsidR="008E1296" w:rsidRPr="00CA4816">
        <w:rPr>
          <w:rFonts w:cs="Times New Roman"/>
          <w:szCs w:val="24"/>
        </w:rPr>
        <w:t xml:space="preserve"> and</w:t>
      </w:r>
      <w:r w:rsidR="008D65A1" w:rsidRPr="00CA4816">
        <w:rPr>
          <w:rFonts w:cs="Times New Roman"/>
          <w:szCs w:val="24"/>
        </w:rPr>
        <w:t xml:space="preserve"> </w:t>
      </w:r>
      <w:r w:rsidR="00176C16" w:rsidRPr="00CA4816">
        <w:rPr>
          <w:rFonts w:cs="Times New Roman"/>
          <w:szCs w:val="24"/>
        </w:rPr>
        <w:t xml:space="preserve">hereby submits </w:t>
      </w:r>
      <w:r w:rsidR="0032306B">
        <w:rPr>
          <w:rFonts w:cs="Times New Roman"/>
          <w:szCs w:val="24"/>
        </w:rPr>
        <w:t xml:space="preserve">this </w:t>
      </w:r>
      <w:r w:rsidR="0032306B">
        <w:rPr>
          <w:rFonts w:cs="Times New Roman"/>
          <w:i/>
          <w:szCs w:val="24"/>
        </w:rPr>
        <w:t xml:space="preserve">Status Report </w:t>
      </w:r>
      <w:r w:rsidR="0032306B">
        <w:rPr>
          <w:rFonts w:cs="Times New Roman"/>
          <w:szCs w:val="24"/>
        </w:rPr>
        <w:t>to the Missouri Public Service Commission ("Commission")</w:t>
      </w:r>
      <w:r w:rsidR="00176C16" w:rsidRPr="00CA4816">
        <w:rPr>
          <w:rFonts w:cs="Times New Roman"/>
          <w:szCs w:val="24"/>
        </w:rPr>
        <w:t>:</w:t>
      </w:r>
    </w:p>
    <w:p w14:paraId="47798E8B" w14:textId="496005B9" w:rsidR="0053578A" w:rsidRDefault="0032306B" w:rsidP="00231318">
      <w:pPr>
        <w:pStyle w:val="NoSpacing"/>
        <w:spacing w:line="480" w:lineRule="auto"/>
        <w:ind w:firstLine="720"/>
        <w:jc w:val="both"/>
        <w:rPr>
          <w:rFonts w:cs="Times New Roman"/>
          <w:szCs w:val="24"/>
        </w:rPr>
      </w:pPr>
      <w:r>
        <w:rPr>
          <w:rFonts w:cs="Times New Roman"/>
          <w:szCs w:val="24"/>
        </w:rPr>
        <w:t xml:space="preserve">1. </w:t>
      </w:r>
      <w:r>
        <w:rPr>
          <w:rFonts w:cs="Times New Roman"/>
          <w:szCs w:val="24"/>
        </w:rPr>
        <w:tab/>
        <w:t xml:space="preserve">On October 10, 2018, Ameren Missouri, on behalf of itself and the parties to this proceeding, filed a request to suspend the procedural schedule pending the filing of a settlement agreement commemorating an agreement in principle to which all parties had tentatively either agreed or indicated they would not object.  On October 11, 2018, the Commission issued its </w:t>
      </w:r>
      <w:r>
        <w:rPr>
          <w:rFonts w:cs="Times New Roman"/>
          <w:i/>
          <w:szCs w:val="24"/>
        </w:rPr>
        <w:t>Order Canceling Hearing and Suspending Procedural Schedule.</w:t>
      </w:r>
      <w:r>
        <w:rPr>
          <w:rFonts w:cs="Times New Roman"/>
          <w:szCs w:val="24"/>
        </w:rPr>
        <w:t xml:space="preserve"> That order not only suspended the remainder of the </w:t>
      </w:r>
      <w:r>
        <w:rPr>
          <w:rFonts w:cs="Times New Roman"/>
          <w:szCs w:val="24"/>
        </w:rPr>
        <w:lastRenderedPageBreak/>
        <w:t xml:space="preserve">procedural schedule, but also required the parties to, by October 19, 2018, either submit the written agreement or a status report stating when an agreement is expected to be filed. </w:t>
      </w:r>
    </w:p>
    <w:p w14:paraId="70F2FA3F" w14:textId="7F7B8C87" w:rsidR="00790BBE" w:rsidRDefault="0032306B" w:rsidP="00231318">
      <w:pPr>
        <w:pStyle w:val="NoSpacing"/>
        <w:spacing w:line="480" w:lineRule="auto"/>
        <w:ind w:firstLine="720"/>
        <w:jc w:val="both"/>
        <w:rPr>
          <w:rFonts w:cs="Times New Roman"/>
          <w:szCs w:val="24"/>
        </w:rPr>
      </w:pPr>
      <w:r>
        <w:rPr>
          <w:rFonts w:cs="Times New Roman"/>
          <w:szCs w:val="24"/>
        </w:rPr>
        <w:t xml:space="preserve">2. </w:t>
      </w:r>
      <w:r>
        <w:rPr>
          <w:rFonts w:cs="Times New Roman"/>
          <w:szCs w:val="24"/>
        </w:rPr>
        <w:tab/>
        <w:t>As of today, the parties continue their work towards finalizing a stipulation and agreement in this proceeding, and anticipate that the agreement will be completed and filed no later than October 26, 2018.  If that date arrives and the settlement is still incomplete, the parties agree to submit another status report indicating as such.</w:t>
      </w:r>
    </w:p>
    <w:p w14:paraId="7B60A8C5" w14:textId="77777777" w:rsidR="00176C16" w:rsidRPr="00CA4816" w:rsidRDefault="00176C16" w:rsidP="00176C16">
      <w:pPr>
        <w:pStyle w:val="NoSpacing"/>
        <w:jc w:val="center"/>
        <w:rPr>
          <w:rFonts w:cs="Times New Roman"/>
          <w:b/>
          <w:szCs w:val="24"/>
        </w:rPr>
      </w:pPr>
    </w:p>
    <w:p w14:paraId="58256577" w14:textId="25B323F5" w:rsidR="00F75DBF" w:rsidRPr="00A81CF6" w:rsidRDefault="00F75DBF" w:rsidP="00F75DBF">
      <w:pPr>
        <w:tabs>
          <w:tab w:val="left" w:pos="0"/>
        </w:tabs>
        <w:suppressAutoHyphens/>
        <w:spacing w:line="480" w:lineRule="auto"/>
        <w:jc w:val="both"/>
      </w:pPr>
      <w:r>
        <w:tab/>
      </w:r>
      <w:r>
        <w:tab/>
      </w:r>
      <w:r>
        <w:tab/>
      </w:r>
      <w:r>
        <w:tab/>
      </w:r>
      <w:r>
        <w:tab/>
      </w:r>
      <w:r>
        <w:tab/>
      </w:r>
      <w:r>
        <w:tab/>
      </w:r>
      <w:r w:rsidRPr="00A81CF6">
        <w:t>Respectfully submitted,</w:t>
      </w:r>
    </w:p>
    <w:p w14:paraId="2DB272A7" w14:textId="77777777" w:rsidR="00F75DBF" w:rsidRPr="00433AA1" w:rsidRDefault="00F75DBF" w:rsidP="00F75DBF">
      <w:pPr>
        <w:keepNext/>
        <w:keepLines/>
        <w:spacing w:after="0" w:line="240" w:lineRule="auto"/>
        <w:ind w:left="4290" w:firstLine="720"/>
        <w:rPr>
          <w:b/>
          <w:u w:val="single"/>
        </w:rPr>
      </w:pPr>
      <w:r w:rsidRPr="00433AA1">
        <w:rPr>
          <w:b/>
          <w:u w:val="single"/>
        </w:rPr>
        <w:t xml:space="preserve">/s/ </w:t>
      </w:r>
      <w:r w:rsidRPr="00433AA1">
        <w:rPr>
          <w:b/>
          <w:i/>
          <w:u w:val="single"/>
        </w:rPr>
        <w:t>Paula N. Johnson</w:t>
      </w:r>
      <w:r w:rsidRPr="00433AA1">
        <w:rPr>
          <w:b/>
          <w:i/>
          <w:u w:val="single"/>
        </w:rPr>
        <w:tab/>
      </w:r>
      <w:r w:rsidRPr="00433AA1">
        <w:rPr>
          <w:b/>
          <w:i/>
          <w:u w:val="single"/>
        </w:rPr>
        <w:tab/>
      </w:r>
      <w:r w:rsidRPr="00433AA1">
        <w:rPr>
          <w:b/>
          <w:u w:val="single"/>
        </w:rPr>
        <w:tab/>
        <w:t xml:space="preserve"> </w:t>
      </w:r>
    </w:p>
    <w:p w14:paraId="31E54424" w14:textId="77777777" w:rsidR="00F75DBF" w:rsidRDefault="00F75DBF" w:rsidP="00F75DBF">
      <w:pPr>
        <w:spacing w:after="0" w:line="240" w:lineRule="auto"/>
        <w:ind w:left="4980"/>
        <w:rPr>
          <w:color w:val="000000"/>
        </w:rPr>
      </w:pPr>
      <w:r>
        <w:rPr>
          <w:b/>
          <w:color w:val="000000"/>
        </w:rPr>
        <w:t>Paula N. Johnson</w:t>
      </w:r>
      <w:r>
        <w:rPr>
          <w:color w:val="000000"/>
        </w:rPr>
        <w:t>, Mo Bar #68963</w:t>
      </w:r>
      <w:bookmarkStart w:id="0" w:name="_GoBack"/>
      <w:bookmarkEnd w:id="0"/>
    </w:p>
    <w:p w14:paraId="4373D9E4" w14:textId="77777777" w:rsidR="00F75DBF" w:rsidRPr="00F61F02" w:rsidRDefault="00F75DBF" w:rsidP="00F75DBF">
      <w:pPr>
        <w:spacing w:after="0" w:line="240" w:lineRule="auto"/>
        <w:ind w:left="4980"/>
        <w:rPr>
          <w:color w:val="000000"/>
        </w:rPr>
      </w:pPr>
      <w:r>
        <w:rPr>
          <w:color w:val="000000"/>
        </w:rPr>
        <w:t xml:space="preserve">Senior </w:t>
      </w:r>
      <w:r w:rsidRPr="00F61F02">
        <w:rPr>
          <w:color w:val="000000"/>
        </w:rPr>
        <w:t>Corporate Counsel</w:t>
      </w:r>
    </w:p>
    <w:p w14:paraId="2B58EE78" w14:textId="77777777" w:rsidR="00F75DBF" w:rsidRPr="00A81CF6" w:rsidRDefault="00F75DBF" w:rsidP="00F75DBF">
      <w:pPr>
        <w:spacing w:after="0" w:line="240" w:lineRule="auto"/>
        <w:ind w:left="4980"/>
      </w:pPr>
      <w:r w:rsidRPr="00A81CF6">
        <w:rPr>
          <w:color w:val="000000"/>
        </w:rPr>
        <w:t>Ameren Missouri</w:t>
      </w:r>
    </w:p>
    <w:p w14:paraId="0DC13050" w14:textId="77777777" w:rsidR="00F75DBF" w:rsidRPr="00A81CF6" w:rsidRDefault="00F75DBF" w:rsidP="00F75DBF">
      <w:pPr>
        <w:spacing w:after="0" w:line="240" w:lineRule="auto"/>
        <w:ind w:left="4980"/>
      </w:pPr>
      <w:r w:rsidRPr="00A81CF6">
        <w:t>1901 Chouteau Avenue, MC 1310</w:t>
      </w:r>
    </w:p>
    <w:p w14:paraId="476721D0" w14:textId="77777777" w:rsidR="00F75DBF" w:rsidRPr="00A81CF6" w:rsidRDefault="00F75DBF" w:rsidP="00F75DBF">
      <w:pPr>
        <w:spacing w:after="0" w:line="240" w:lineRule="auto"/>
        <w:ind w:left="4980"/>
      </w:pPr>
      <w:r w:rsidRPr="00A81CF6">
        <w:rPr>
          <w:color w:val="000000"/>
        </w:rPr>
        <w:t>St. Louis, MO 63103</w:t>
      </w:r>
    </w:p>
    <w:p w14:paraId="5A88FD9B" w14:textId="77777777" w:rsidR="00F75DBF" w:rsidRPr="00A81CF6" w:rsidRDefault="00F75DBF" w:rsidP="00F75DBF">
      <w:pPr>
        <w:spacing w:after="0" w:line="240" w:lineRule="auto"/>
        <w:ind w:left="4980"/>
        <w:rPr>
          <w:color w:val="000000"/>
        </w:rPr>
      </w:pPr>
      <w:r w:rsidRPr="00A81CF6">
        <w:rPr>
          <w:color w:val="000000"/>
        </w:rPr>
        <w:t>(314) 554-3</w:t>
      </w:r>
      <w:r>
        <w:rPr>
          <w:color w:val="000000"/>
        </w:rPr>
        <w:t>533</w:t>
      </w:r>
      <w:r w:rsidRPr="00A81CF6">
        <w:rPr>
          <w:color w:val="000000"/>
        </w:rPr>
        <w:t xml:space="preserve"> (phone)</w:t>
      </w:r>
    </w:p>
    <w:p w14:paraId="5476035E" w14:textId="77777777" w:rsidR="00F75DBF" w:rsidRPr="00A81CF6" w:rsidRDefault="00F75DBF" w:rsidP="00F75DBF">
      <w:pPr>
        <w:spacing w:after="0" w:line="240" w:lineRule="auto"/>
        <w:ind w:left="4980"/>
      </w:pPr>
      <w:r w:rsidRPr="00A81CF6">
        <w:rPr>
          <w:color w:val="000000"/>
        </w:rPr>
        <w:t>(314) 554-4014 (fax)</w:t>
      </w:r>
    </w:p>
    <w:p w14:paraId="4E6C01BE" w14:textId="77777777" w:rsidR="00F75DBF" w:rsidRDefault="00F75DBF" w:rsidP="00F75DBF">
      <w:pPr>
        <w:spacing w:after="0" w:line="240" w:lineRule="auto"/>
        <w:ind w:left="4980"/>
        <w:rPr>
          <w:rStyle w:val="Hyperlink"/>
        </w:rPr>
      </w:pPr>
      <w:hyperlink r:id="rId8" w:history="1">
        <w:r w:rsidRPr="00A81CF6">
          <w:rPr>
            <w:rStyle w:val="Hyperlink"/>
          </w:rPr>
          <w:t>AmerenMOService@ameren.com</w:t>
        </w:r>
      </w:hyperlink>
    </w:p>
    <w:p w14:paraId="208BB2A3" w14:textId="77777777" w:rsidR="00F75DBF" w:rsidRDefault="00F75DBF" w:rsidP="00F75DBF">
      <w:pPr>
        <w:spacing w:after="0" w:line="240" w:lineRule="auto"/>
        <w:ind w:left="4980"/>
        <w:rPr>
          <w:rStyle w:val="Hyperlink"/>
        </w:rPr>
      </w:pPr>
    </w:p>
    <w:p w14:paraId="23283C16" w14:textId="343B3006" w:rsidR="00F75DBF" w:rsidRDefault="00F75DBF" w:rsidP="00F75DBF">
      <w:pPr>
        <w:spacing w:after="0" w:line="240" w:lineRule="auto"/>
        <w:ind w:left="5010"/>
      </w:pPr>
      <w:r w:rsidRPr="00754AD5">
        <w:rPr>
          <w:b/>
        </w:rPr>
        <w:t>L. Russell Mitten</w:t>
      </w:r>
      <w:r>
        <w:rPr>
          <w:b/>
        </w:rPr>
        <w:t xml:space="preserve">, </w:t>
      </w:r>
      <w:r w:rsidRPr="00F75DBF">
        <w:t>Mo Bar</w:t>
      </w:r>
      <w:r>
        <w:t xml:space="preserve"> </w:t>
      </w:r>
      <w:r>
        <w:t>#27881</w:t>
      </w:r>
    </w:p>
    <w:p w14:paraId="5995D0DD" w14:textId="77777777" w:rsidR="00F75DBF" w:rsidRDefault="00F75DBF" w:rsidP="00F75DBF">
      <w:pPr>
        <w:spacing w:after="0" w:line="240" w:lineRule="auto"/>
        <w:ind w:left="5010"/>
      </w:pPr>
      <w:r>
        <w:t>Brydon, Swearengen &amp; England, P.C.</w:t>
      </w:r>
    </w:p>
    <w:p w14:paraId="637A82F4" w14:textId="77777777" w:rsidR="00F75DBF" w:rsidRDefault="00F75DBF" w:rsidP="00F75DBF">
      <w:pPr>
        <w:spacing w:after="0" w:line="240" w:lineRule="auto"/>
        <w:ind w:left="5010"/>
      </w:pPr>
      <w:r>
        <w:t>312 East Capitol Avenue</w:t>
      </w:r>
    </w:p>
    <w:p w14:paraId="6DFEAE38" w14:textId="77777777" w:rsidR="00F75DBF" w:rsidRDefault="00F75DBF" w:rsidP="00F75DBF">
      <w:pPr>
        <w:spacing w:after="0" w:line="240" w:lineRule="auto"/>
        <w:ind w:left="5010"/>
      </w:pPr>
      <w:r>
        <w:t>Jefferson City, MO  65102</w:t>
      </w:r>
    </w:p>
    <w:p w14:paraId="5E6E838B" w14:textId="77777777" w:rsidR="00F75DBF" w:rsidRDefault="00F75DBF" w:rsidP="00F75DBF">
      <w:pPr>
        <w:spacing w:after="0" w:line="240" w:lineRule="auto"/>
        <w:ind w:left="5010"/>
      </w:pPr>
      <w:r>
        <w:t>(573) 635-7166 (Telephone)</w:t>
      </w:r>
    </w:p>
    <w:p w14:paraId="50B9463C" w14:textId="77777777" w:rsidR="00F75DBF" w:rsidRDefault="00F75DBF" w:rsidP="00F75DBF">
      <w:pPr>
        <w:spacing w:after="0" w:line="240" w:lineRule="auto"/>
        <w:ind w:left="5010"/>
      </w:pPr>
      <w:r>
        <w:t>(573) 634-7431 (Facsimile)</w:t>
      </w:r>
    </w:p>
    <w:p w14:paraId="6EC8445C" w14:textId="77777777" w:rsidR="00F75DBF" w:rsidRDefault="00F75DBF" w:rsidP="00F75DBF">
      <w:pPr>
        <w:pStyle w:val="ListParagraph"/>
        <w:spacing w:after="0" w:line="240" w:lineRule="auto"/>
        <w:ind w:left="4290" w:firstLine="720"/>
        <w:rPr>
          <w:rStyle w:val="Hyperlink"/>
        </w:rPr>
      </w:pPr>
      <w:hyperlink r:id="rId9" w:history="1">
        <w:r w:rsidRPr="00BC620E">
          <w:rPr>
            <w:rStyle w:val="Hyperlink"/>
          </w:rPr>
          <w:t>rmitten@brydonlaw.com</w:t>
        </w:r>
      </w:hyperlink>
    </w:p>
    <w:p w14:paraId="13F37217" w14:textId="77777777" w:rsidR="00F75DBF" w:rsidRDefault="00F75DBF" w:rsidP="00F75DBF">
      <w:pPr>
        <w:spacing w:after="0" w:line="240" w:lineRule="auto"/>
        <w:ind w:left="4980"/>
        <w:rPr>
          <w:rStyle w:val="Hyperlink"/>
          <w:b/>
        </w:rPr>
      </w:pPr>
    </w:p>
    <w:p w14:paraId="7D6C88C9" w14:textId="77777777" w:rsidR="00F75DBF" w:rsidRPr="00F75DBF" w:rsidRDefault="00F75DBF" w:rsidP="00F75DBF">
      <w:pPr>
        <w:spacing w:after="0" w:line="240" w:lineRule="auto"/>
        <w:ind w:left="4980"/>
        <w:rPr>
          <w:rStyle w:val="Hyperlink"/>
          <w:b/>
          <w:color w:val="auto"/>
          <w:u w:val="none"/>
        </w:rPr>
      </w:pPr>
      <w:r w:rsidRPr="00F75DBF">
        <w:rPr>
          <w:rStyle w:val="Hyperlink"/>
          <w:b/>
          <w:color w:val="auto"/>
          <w:u w:val="none"/>
        </w:rPr>
        <w:t>Attorneys for Union Electric Company</w:t>
      </w:r>
    </w:p>
    <w:p w14:paraId="47C87C35" w14:textId="77777777" w:rsidR="00F75DBF" w:rsidRPr="003310CD" w:rsidRDefault="00F75DBF" w:rsidP="00F75DBF">
      <w:pPr>
        <w:spacing w:after="0" w:line="240" w:lineRule="auto"/>
        <w:ind w:left="4260" w:firstLine="720"/>
      </w:pPr>
      <w:r w:rsidRPr="00F75DBF">
        <w:rPr>
          <w:rStyle w:val="Hyperlink"/>
          <w:b/>
          <w:color w:val="auto"/>
          <w:u w:val="none"/>
        </w:rPr>
        <w:t>d/b/a Ameren Missouri</w:t>
      </w:r>
      <w:r w:rsidRPr="003310CD">
        <w:tab/>
      </w:r>
      <w:r w:rsidRPr="003310CD">
        <w:tab/>
      </w:r>
      <w:r w:rsidRPr="003310CD">
        <w:tab/>
      </w:r>
    </w:p>
    <w:p w14:paraId="7151DA63" w14:textId="77777777" w:rsidR="00F75DBF" w:rsidRPr="003310CD" w:rsidRDefault="00F75DBF" w:rsidP="00F75DBF">
      <w:pPr>
        <w:pStyle w:val="EndnoteText"/>
        <w:keepNext/>
        <w:keepLines/>
        <w:tabs>
          <w:tab w:val="left" w:pos="720"/>
          <w:tab w:val="left" w:pos="1440"/>
          <w:tab w:val="left" w:pos="3960"/>
          <w:tab w:val="left" w:pos="4320"/>
          <w:tab w:val="left" w:pos="6768"/>
        </w:tabs>
        <w:suppressAutoHyphens/>
        <w:rPr>
          <w:rFonts w:ascii="Times New Roman" w:hAnsi="Times New Roman"/>
        </w:rPr>
      </w:pPr>
    </w:p>
    <w:p w14:paraId="360BB198" w14:textId="6052A938" w:rsidR="00CA4816" w:rsidRDefault="00CA4816">
      <w:pPr>
        <w:rPr>
          <w:rFonts w:cs="Times New Roman"/>
          <w:b/>
          <w:bCs/>
          <w:color w:val="000000"/>
          <w:szCs w:val="24"/>
          <w:u w:val="single"/>
        </w:rPr>
      </w:pPr>
    </w:p>
    <w:p w14:paraId="79A8E942" w14:textId="77777777" w:rsidR="002636CA" w:rsidRPr="00CA4816" w:rsidRDefault="002636CA" w:rsidP="002636CA">
      <w:pPr>
        <w:pStyle w:val="Default"/>
        <w:jc w:val="center"/>
        <w:rPr>
          <w:rFonts w:ascii="Times New Roman" w:hAnsi="Times New Roman" w:cs="Times New Roman"/>
          <w:b/>
          <w:bCs/>
          <w:u w:val="single"/>
        </w:rPr>
      </w:pPr>
      <w:r w:rsidRPr="00CA4816">
        <w:rPr>
          <w:rFonts w:ascii="Times New Roman" w:hAnsi="Times New Roman" w:cs="Times New Roman"/>
          <w:b/>
          <w:bCs/>
          <w:u w:val="single"/>
        </w:rPr>
        <w:t>CERTIFICATE OF SERVICE</w:t>
      </w:r>
    </w:p>
    <w:p w14:paraId="60098F65" w14:textId="77777777" w:rsidR="002636CA" w:rsidRPr="00CA4816" w:rsidRDefault="002636CA" w:rsidP="002636CA">
      <w:pPr>
        <w:pStyle w:val="Default"/>
        <w:jc w:val="center"/>
        <w:rPr>
          <w:rFonts w:ascii="Times New Roman" w:hAnsi="Times New Roman" w:cs="Times New Roman"/>
        </w:rPr>
      </w:pPr>
    </w:p>
    <w:p w14:paraId="69CF10CC" w14:textId="759BB35F" w:rsidR="002636CA" w:rsidRPr="00CA4816" w:rsidRDefault="002636CA" w:rsidP="00231318">
      <w:pPr>
        <w:pStyle w:val="ListParagraph"/>
        <w:ind w:left="0" w:firstLine="720"/>
        <w:rPr>
          <w:rFonts w:cs="Times New Roman"/>
          <w:szCs w:val="24"/>
        </w:rPr>
      </w:pPr>
      <w:r w:rsidRPr="00CA4816">
        <w:rPr>
          <w:rFonts w:cs="Times New Roman"/>
          <w:szCs w:val="24"/>
        </w:rPr>
        <w:t xml:space="preserve">I hereby certify that a true and correct copy of the foregoing was served by electronic mail, or First Class United States Postal Mail, postage prepaid, on this </w:t>
      </w:r>
      <w:r w:rsidR="00E31863">
        <w:rPr>
          <w:rFonts w:cs="Times New Roman"/>
          <w:szCs w:val="24"/>
        </w:rPr>
        <w:t>1</w:t>
      </w:r>
      <w:r w:rsidR="002641C1">
        <w:rPr>
          <w:rFonts w:cs="Times New Roman"/>
          <w:szCs w:val="24"/>
        </w:rPr>
        <w:t>9</w:t>
      </w:r>
      <w:r w:rsidR="002641C1" w:rsidRPr="002641C1">
        <w:rPr>
          <w:rFonts w:cs="Times New Roman"/>
          <w:szCs w:val="24"/>
          <w:vertAlign w:val="superscript"/>
        </w:rPr>
        <w:t>th</w:t>
      </w:r>
      <w:r w:rsidR="002641C1">
        <w:rPr>
          <w:rFonts w:cs="Times New Roman"/>
          <w:szCs w:val="24"/>
        </w:rPr>
        <w:t xml:space="preserve"> </w:t>
      </w:r>
      <w:r w:rsidRPr="00CA4816">
        <w:rPr>
          <w:rFonts w:cs="Times New Roman"/>
          <w:szCs w:val="24"/>
        </w:rPr>
        <w:t xml:space="preserve">day of </w:t>
      </w:r>
      <w:r w:rsidR="00E31863">
        <w:rPr>
          <w:rFonts w:cs="Times New Roman"/>
          <w:szCs w:val="24"/>
        </w:rPr>
        <w:t>October</w:t>
      </w:r>
      <w:r w:rsidR="00176C16" w:rsidRPr="00CA4816">
        <w:rPr>
          <w:rFonts w:cs="Times New Roman"/>
          <w:szCs w:val="24"/>
        </w:rPr>
        <w:t>, 201</w:t>
      </w:r>
      <w:r w:rsidR="00CA4816" w:rsidRPr="00CA4816">
        <w:rPr>
          <w:rFonts w:cs="Times New Roman"/>
          <w:szCs w:val="24"/>
        </w:rPr>
        <w:t>8</w:t>
      </w:r>
      <w:r w:rsidRPr="00CA4816">
        <w:rPr>
          <w:rFonts w:cs="Times New Roman"/>
          <w:szCs w:val="24"/>
        </w:rPr>
        <w:t xml:space="preserve">, to all counsel of record. </w:t>
      </w:r>
    </w:p>
    <w:p w14:paraId="47C44CA8" w14:textId="77777777" w:rsidR="002636CA" w:rsidRPr="00CA4816" w:rsidRDefault="002636CA" w:rsidP="002636CA">
      <w:pPr>
        <w:pStyle w:val="ListParagraph"/>
        <w:ind w:left="0"/>
        <w:rPr>
          <w:rFonts w:cs="Times New Roman"/>
          <w:szCs w:val="24"/>
        </w:rPr>
      </w:pPr>
    </w:p>
    <w:p w14:paraId="50BDAE1C" w14:textId="387ACBFC" w:rsidR="002636CA" w:rsidRPr="00231318" w:rsidRDefault="002636CA" w:rsidP="00231318">
      <w:pPr>
        <w:pStyle w:val="ListParagraph"/>
        <w:ind w:left="4320" w:firstLine="720"/>
        <w:jc w:val="center"/>
        <w:rPr>
          <w:rFonts w:ascii="Lucida Calligraphy" w:hAnsi="Lucida Calligraphy" w:cs="Times New Roman"/>
          <w:b/>
          <w:sz w:val="22"/>
          <w:u w:val="single"/>
        </w:rPr>
      </w:pPr>
      <w:r w:rsidRPr="00231318">
        <w:rPr>
          <w:rFonts w:ascii="Lucida Calligraphy" w:hAnsi="Lucida Calligraphy" w:cs="Times New Roman"/>
          <w:b/>
          <w:sz w:val="22"/>
          <w:u w:val="single"/>
        </w:rPr>
        <w:t>/s/</w:t>
      </w:r>
      <w:r w:rsidR="00231318" w:rsidRPr="00231318">
        <w:rPr>
          <w:rFonts w:ascii="Lucida Calligraphy" w:hAnsi="Lucida Calligraphy" w:cs="Times New Roman"/>
          <w:b/>
          <w:sz w:val="22"/>
          <w:u w:val="single"/>
        </w:rPr>
        <w:t xml:space="preserve"> Paula N. Johnson</w:t>
      </w:r>
      <w:r w:rsidR="00CA4816" w:rsidRPr="00231318">
        <w:rPr>
          <w:rFonts w:ascii="Lucida Calligraphy" w:hAnsi="Lucida Calligraphy" w:cs="Times New Roman"/>
          <w:b/>
          <w:sz w:val="22"/>
          <w:u w:val="single"/>
        </w:rPr>
        <w:t xml:space="preserve">                 </w:t>
      </w:r>
      <w:r w:rsidRPr="00231318">
        <w:rPr>
          <w:rFonts w:ascii="Lucida Calligraphy" w:hAnsi="Lucida Calligraphy" w:cs="Times New Roman"/>
          <w:b/>
          <w:sz w:val="22"/>
          <w:u w:val="single"/>
        </w:rPr>
        <w:tab/>
      </w:r>
    </w:p>
    <w:p w14:paraId="1A92B089" w14:textId="547E5FCC" w:rsidR="00231318" w:rsidRPr="00231318" w:rsidRDefault="00231318" w:rsidP="00231318">
      <w:pPr>
        <w:pStyle w:val="ListParagraph"/>
        <w:ind w:left="4320" w:firstLine="720"/>
        <w:rPr>
          <w:rFonts w:cs="Times New Roman"/>
          <w:bCs/>
          <w:color w:val="0000FF"/>
          <w:szCs w:val="24"/>
        </w:rPr>
      </w:pPr>
      <w:r w:rsidRPr="00231318">
        <w:rPr>
          <w:rFonts w:cs="Times New Roman"/>
          <w:szCs w:val="24"/>
        </w:rPr>
        <w:t>Paula N. Johnson</w:t>
      </w:r>
    </w:p>
    <w:p w14:paraId="17CD434A" w14:textId="77777777" w:rsidR="008D65A1" w:rsidRPr="00CA4816" w:rsidRDefault="008D65A1" w:rsidP="008D65A1">
      <w:pPr>
        <w:rPr>
          <w:rFonts w:cs="Times New Roman"/>
          <w:b/>
          <w:szCs w:val="24"/>
          <w:u w:val="single"/>
        </w:rPr>
      </w:pPr>
    </w:p>
    <w:sectPr w:rsidR="008D65A1" w:rsidRPr="00CA4816" w:rsidSect="000172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046B5" w14:textId="77777777" w:rsidR="00001A87" w:rsidRDefault="00001A87" w:rsidP="00ED56C8">
      <w:pPr>
        <w:spacing w:after="0" w:line="240" w:lineRule="auto"/>
      </w:pPr>
      <w:r>
        <w:separator/>
      </w:r>
    </w:p>
  </w:endnote>
  <w:endnote w:type="continuationSeparator" w:id="0">
    <w:p w14:paraId="4AA1612F" w14:textId="77777777" w:rsidR="00001A87" w:rsidRDefault="00001A87" w:rsidP="00ED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C9DDBB" w14:textId="77777777" w:rsidR="00001A87" w:rsidRDefault="00001A87" w:rsidP="00ED56C8">
      <w:pPr>
        <w:spacing w:after="0" w:line="240" w:lineRule="auto"/>
      </w:pPr>
      <w:r>
        <w:separator/>
      </w:r>
    </w:p>
  </w:footnote>
  <w:footnote w:type="continuationSeparator" w:id="0">
    <w:p w14:paraId="759C1972" w14:textId="77777777" w:rsidR="00001A87" w:rsidRDefault="00001A87" w:rsidP="00ED5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4631B"/>
    <w:multiLevelType w:val="hybridMultilevel"/>
    <w:tmpl w:val="B2620C7A"/>
    <w:lvl w:ilvl="0" w:tplc="ED28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D23ED9"/>
    <w:multiLevelType w:val="hybridMultilevel"/>
    <w:tmpl w:val="B3AC7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8034D1"/>
    <w:multiLevelType w:val="hybridMultilevel"/>
    <w:tmpl w:val="F0F0D3B4"/>
    <w:lvl w:ilvl="0" w:tplc="1D7A2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A1"/>
    <w:rsid w:val="00001A87"/>
    <w:rsid w:val="00005484"/>
    <w:rsid w:val="000153D6"/>
    <w:rsid w:val="0001722A"/>
    <w:rsid w:val="00025ED6"/>
    <w:rsid w:val="000448FD"/>
    <w:rsid w:val="00053EEF"/>
    <w:rsid w:val="000A1B15"/>
    <w:rsid w:val="000D4DB5"/>
    <w:rsid w:val="000D6814"/>
    <w:rsid w:val="000E2AC7"/>
    <w:rsid w:val="000F6B8A"/>
    <w:rsid w:val="00104090"/>
    <w:rsid w:val="00176C16"/>
    <w:rsid w:val="00224131"/>
    <w:rsid w:val="00231318"/>
    <w:rsid w:val="00232D26"/>
    <w:rsid w:val="002343BB"/>
    <w:rsid w:val="00245190"/>
    <w:rsid w:val="002636CA"/>
    <w:rsid w:val="002641C1"/>
    <w:rsid w:val="00285B38"/>
    <w:rsid w:val="002959DB"/>
    <w:rsid w:val="002A3441"/>
    <w:rsid w:val="002C10EF"/>
    <w:rsid w:val="002E62F5"/>
    <w:rsid w:val="002F7DE8"/>
    <w:rsid w:val="00300C1A"/>
    <w:rsid w:val="003148B2"/>
    <w:rsid w:val="00321585"/>
    <w:rsid w:val="0032306B"/>
    <w:rsid w:val="00352768"/>
    <w:rsid w:val="00371006"/>
    <w:rsid w:val="003E2E36"/>
    <w:rsid w:val="003E39F8"/>
    <w:rsid w:val="00406718"/>
    <w:rsid w:val="00433AA1"/>
    <w:rsid w:val="004A60F0"/>
    <w:rsid w:val="004B5602"/>
    <w:rsid w:val="00521CBA"/>
    <w:rsid w:val="0053578A"/>
    <w:rsid w:val="005452CF"/>
    <w:rsid w:val="00550D0E"/>
    <w:rsid w:val="005717E8"/>
    <w:rsid w:val="005750EE"/>
    <w:rsid w:val="0058151E"/>
    <w:rsid w:val="005E6732"/>
    <w:rsid w:val="00600EE3"/>
    <w:rsid w:val="00630057"/>
    <w:rsid w:val="00645D43"/>
    <w:rsid w:val="00693301"/>
    <w:rsid w:val="006B5B11"/>
    <w:rsid w:val="006E46A4"/>
    <w:rsid w:val="006E48CF"/>
    <w:rsid w:val="00703F46"/>
    <w:rsid w:val="00717ADB"/>
    <w:rsid w:val="0072769C"/>
    <w:rsid w:val="00741D18"/>
    <w:rsid w:val="00756984"/>
    <w:rsid w:val="00787A9E"/>
    <w:rsid w:val="00790BBE"/>
    <w:rsid w:val="007B50F1"/>
    <w:rsid w:val="007C0453"/>
    <w:rsid w:val="007D6673"/>
    <w:rsid w:val="00832592"/>
    <w:rsid w:val="00835CD6"/>
    <w:rsid w:val="00854127"/>
    <w:rsid w:val="0087783B"/>
    <w:rsid w:val="008A6895"/>
    <w:rsid w:val="008A735A"/>
    <w:rsid w:val="008C71AF"/>
    <w:rsid w:val="008D197D"/>
    <w:rsid w:val="008D65A1"/>
    <w:rsid w:val="008E1296"/>
    <w:rsid w:val="009170F6"/>
    <w:rsid w:val="00926881"/>
    <w:rsid w:val="00931FC7"/>
    <w:rsid w:val="009926A4"/>
    <w:rsid w:val="009B7051"/>
    <w:rsid w:val="009C689F"/>
    <w:rsid w:val="009E357D"/>
    <w:rsid w:val="009E5CA9"/>
    <w:rsid w:val="009F16C7"/>
    <w:rsid w:val="00A0378C"/>
    <w:rsid w:val="00A250E4"/>
    <w:rsid w:val="00A26160"/>
    <w:rsid w:val="00A41929"/>
    <w:rsid w:val="00A700B3"/>
    <w:rsid w:val="00A8260B"/>
    <w:rsid w:val="00A82F8C"/>
    <w:rsid w:val="00A92A70"/>
    <w:rsid w:val="00A969FA"/>
    <w:rsid w:val="00AC058F"/>
    <w:rsid w:val="00AF2429"/>
    <w:rsid w:val="00AF63E7"/>
    <w:rsid w:val="00B32B07"/>
    <w:rsid w:val="00B42637"/>
    <w:rsid w:val="00B471B9"/>
    <w:rsid w:val="00B72A5F"/>
    <w:rsid w:val="00BD1BAA"/>
    <w:rsid w:val="00BD73D8"/>
    <w:rsid w:val="00BF638F"/>
    <w:rsid w:val="00C226DB"/>
    <w:rsid w:val="00C80D52"/>
    <w:rsid w:val="00CA4816"/>
    <w:rsid w:val="00CD7927"/>
    <w:rsid w:val="00CE2698"/>
    <w:rsid w:val="00D10807"/>
    <w:rsid w:val="00D157D2"/>
    <w:rsid w:val="00D17CC7"/>
    <w:rsid w:val="00DE0165"/>
    <w:rsid w:val="00E2520F"/>
    <w:rsid w:val="00E31863"/>
    <w:rsid w:val="00E37FAC"/>
    <w:rsid w:val="00E43E3E"/>
    <w:rsid w:val="00E67D4B"/>
    <w:rsid w:val="00E8178D"/>
    <w:rsid w:val="00E96DEC"/>
    <w:rsid w:val="00EB229F"/>
    <w:rsid w:val="00EC5F74"/>
    <w:rsid w:val="00ED56C8"/>
    <w:rsid w:val="00EE417A"/>
    <w:rsid w:val="00F41186"/>
    <w:rsid w:val="00F553DC"/>
    <w:rsid w:val="00F75DBF"/>
    <w:rsid w:val="00F86DB6"/>
    <w:rsid w:val="00F95B07"/>
    <w:rsid w:val="00FA2661"/>
    <w:rsid w:val="00FD3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32A0F"/>
  <w15:docId w15:val="{9CE23807-DFFF-4859-92D1-E5CB574F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0F0"/>
    <w:pPr>
      <w:autoSpaceDE w:val="0"/>
      <w:autoSpaceDN w:val="0"/>
      <w:adjustRightInd w:val="0"/>
      <w:spacing w:after="0" w:line="240" w:lineRule="auto"/>
    </w:pPr>
    <w:rPr>
      <w:rFonts w:ascii="Arial" w:hAnsi="Arial" w:cs="Arial"/>
      <w:color w:val="000000"/>
      <w:szCs w:val="24"/>
    </w:rPr>
  </w:style>
  <w:style w:type="paragraph" w:styleId="ListParagraph">
    <w:name w:val="List Paragraph"/>
    <w:basedOn w:val="Normal"/>
    <w:uiPriority w:val="34"/>
    <w:qFormat/>
    <w:rsid w:val="004A60F0"/>
    <w:pPr>
      <w:ind w:left="720"/>
      <w:contextualSpacing/>
    </w:pPr>
  </w:style>
  <w:style w:type="paragraph" w:styleId="NoSpacing">
    <w:name w:val="No Spacing"/>
    <w:uiPriority w:val="1"/>
    <w:qFormat/>
    <w:rsid w:val="008E1296"/>
    <w:pPr>
      <w:spacing w:after="0" w:line="240" w:lineRule="auto"/>
    </w:pPr>
  </w:style>
  <w:style w:type="paragraph" w:styleId="BalloonText">
    <w:name w:val="Balloon Text"/>
    <w:basedOn w:val="Normal"/>
    <w:link w:val="BalloonTextChar"/>
    <w:uiPriority w:val="99"/>
    <w:semiHidden/>
    <w:unhideWhenUsed/>
    <w:rsid w:val="007C0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453"/>
    <w:rPr>
      <w:rFonts w:ascii="Tahoma" w:hAnsi="Tahoma" w:cs="Tahoma"/>
      <w:sz w:val="16"/>
      <w:szCs w:val="16"/>
    </w:rPr>
  </w:style>
  <w:style w:type="character" w:styleId="Hyperlink">
    <w:name w:val="Hyperlink"/>
    <w:basedOn w:val="DefaultParagraphFont"/>
    <w:uiPriority w:val="99"/>
    <w:unhideWhenUsed/>
    <w:rsid w:val="002636CA"/>
    <w:rPr>
      <w:color w:val="0000FF" w:themeColor="hyperlink"/>
      <w:u w:val="single"/>
    </w:rPr>
  </w:style>
  <w:style w:type="character" w:styleId="CommentReference">
    <w:name w:val="annotation reference"/>
    <w:basedOn w:val="DefaultParagraphFont"/>
    <w:uiPriority w:val="99"/>
    <w:semiHidden/>
    <w:unhideWhenUsed/>
    <w:rsid w:val="00321585"/>
    <w:rPr>
      <w:sz w:val="16"/>
      <w:szCs w:val="16"/>
    </w:rPr>
  </w:style>
  <w:style w:type="paragraph" w:styleId="CommentText">
    <w:name w:val="annotation text"/>
    <w:basedOn w:val="Normal"/>
    <w:link w:val="CommentTextChar"/>
    <w:uiPriority w:val="99"/>
    <w:semiHidden/>
    <w:unhideWhenUsed/>
    <w:rsid w:val="00321585"/>
    <w:pPr>
      <w:spacing w:line="240" w:lineRule="auto"/>
    </w:pPr>
    <w:rPr>
      <w:sz w:val="20"/>
      <w:szCs w:val="20"/>
    </w:rPr>
  </w:style>
  <w:style w:type="character" w:customStyle="1" w:styleId="CommentTextChar">
    <w:name w:val="Comment Text Char"/>
    <w:basedOn w:val="DefaultParagraphFont"/>
    <w:link w:val="CommentText"/>
    <w:uiPriority w:val="99"/>
    <w:semiHidden/>
    <w:rsid w:val="00321585"/>
    <w:rPr>
      <w:sz w:val="20"/>
      <w:szCs w:val="20"/>
    </w:rPr>
  </w:style>
  <w:style w:type="paragraph" w:styleId="CommentSubject">
    <w:name w:val="annotation subject"/>
    <w:basedOn w:val="CommentText"/>
    <w:next w:val="CommentText"/>
    <w:link w:val="CommentSubjectChar"/>
    <w:rsid w:val="00CD7927"/>
    <w:rPr>
      <w:b/>
      <w:bCs/>
    </w:rPr>
  </w:style>
  <w:style w:type="character" w:customStyle="1" w:styleId="CommentSubjectChar">
    <w:name w:val="Comment Subject Char"/>
    <w:basedOn w:val="CommentTextChar"/>
    <w:link w:val="CommentSubject"/>
    <w:rsid w:val="00CD7927"/>
    <w:rPr>
      <w:b/>
      <w:bCs/>
      <w:sz w:val="20"/>
      <w:szCs w:val="20"/>
    </w:rPr>
  </w:style>
  <w:style w:type="paragraph" w:styleId="FootnoteText">
    <w:name w:val="footnote text"/>
    <w:basedOn w:val="Normal"/>
    <w:link w:val="FootnoteTextChar"/>
    <w:rsid w:val="00ED56C8"/>
    <w:pPr>
      <w:spacing w:after="0" w:line="240" w:lineRule="auto"/>
    </w:pPr>
    <w:rPr>
      <w:sz w:val="20"/>
      <w:szCs w:val="20"/>
    </w:rPr>
  </w:style>
  <w:style w:type="character" w:customStyle="1" w:styleId="FootnoteTextChar">
    <w:name w:val="Footnote Text Char"/>
    <w:basedOn w:val="DefaultParagraphFont"/>
    <w:link w:val="FootnoteText"/>
    <w:rsid w:val="00ED56C8"/>
    <w:rPr>
      <w:sz w:val="20"/>
      <w:szCs w:val="20"/>
    </w:rPr>
  </w:style>
  <w:style w:type="character" w:styleId="FootnoteReference">
    <w:name w:val="footnote reference"/>
    <w:basedOn w:val="DefaultParagraphFont"/>
    <w:rsid w:val="00ED56C8"/>
    <w:rPr>
      <w:vertAlign w:val="superscript"/>
    </w:rPr>
  </w:style>
  <w:style w:type="paragraph" w:styleId="EndnoteText">
    <w:name w:val="endnote text"/>
    <w:basedOn w:val="Normal"/>
    <w:link w:val="EndnoteTextChar"/>
    <w:semiHidden/>
    <w:rsid w:val="00F75DBF"/>
    <w:pPr>
      <w:spacing w:after="0" w:line="240" w:lineRule="auto"/>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F75DBF"/>
    <w:rPr>
      <w:rFonts w:ascii="Courier" w:eastAsia="Times New Roman" w:hAnsi="Courier"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renMOService@amere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mitten@brydo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EE739-41E8-4290-80B0-684C4972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Whitney</dc:creator>
  <cp:lastModifiedBy>Best, Geri A</cp:lastModifiedBy>
  <cp:revision>3</cp:revision>
  <cp:lastPrinted>2018-10-01T12:23:00Z</cp:lastPrinted>
  <dcterms:created xsi:type="dcterms:W3CDTF">2018-10-19T17:24:00Z</dcterms:created>
  <dcterms:modified xsi:type="dcterms:W3CDTF">2018-10-19T17:25:00Z</dcterms:modified>
</cp:coreProperties>
</file>