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A4" w:rsidRPr="001A4C1A" w:rsidRDefault="00A674A4" w:rsidP="00A674A4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1A4C1A">
        <w:rPr>
          <w:rFonts w:eastAsiaTheme="minorHAnsi"/>
          <w:b/>
          <w:color w:val="auto"/>
          <w:szCs w:val="24"/>
        </w:rPr>
        <w:t>BEFORE THE PUBLIC SERVICE COMMISSION</w:t>
      </w:r>
    </w:p>
    <w:p w:rsidR="00A674A4" w:rsidRPr="001A4C1A" w:rsidRDefault="00A674A4" w:rsidP="00A674A4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1A4C1A">
        <w:rPr>
          <w:rFonts w:eastAsiaTheme="minorHAnsi"/>
          <w:b/>
          <w:color w:val="auto"/>
          <w:szCs w:val="24"/>
        </w:rPr>
        <w:t>OF THE STATE OF MISSOURI</w:t>
      </w:r>
    </w:p>
    <w:p w:rsidR="00A674A4" w:rsidRDefault="00A674A4" w:rsidP="00A674A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A674A4" w:rsidRPr="001A4C1A" w:rsidRDefault="00A674A4" w:rsidP="00A674A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1A4C1A">
        <w:rPr>
          <w:rFonts w:eastAsiaTheme="minorHAnsi"/>
          <w:color w:val="auto"/>
          <w:szCs w:val="24"/>
        </w:rPr>
        <w:t xml:space="preserve">In the Matter of the Renewable Energy Standard </w:t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) </w:t>
      </w:r>
    </w:p>
    <w:p w:rsidR="00A674A4" w:rsidRPr="001A4C1A" w:rsidRDefault="00A674A4" w:rsidP="00A674A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1A4C1A">
        <w:rPr>
          <w:rFonts w:eastAsiaTheme="minorHAnsi"/>
          <w:color w:val="auto"/>
          <w:szCs w:val="24"/>
        </w:rPr>
        <w:t xml:space="preserve">Compliance Report 2013 and Renewable Energy </w:t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) </w:t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File No. EO-2014-0291 </w:t>
      </w:r>
    </w:p>
    <w:p w:rsidR="00423363" w:rsidRDefault="00A674A4" w:rsidP="00A674A4">
      <w:pPr>
        <w:spacing w:line="240" w:lineRule="auto"/>
        <w:ind w:left="0" w:firstLine="0"/>
        <w:jc w:val="left"/>
      </w:pPr>
      <w:r w:rsidRPr="001A4C1A">
        <w:rPr>
          <w:rFonts w:eastAsiaTheme="minorHAnsi"/>
          <w:color w:val="auto"/>
          <w:szCs w:val="24"/>
        </w:rPr>
        <w:t xml:space="preserve">Standard Compliance Plan 2014-2016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proofErr w:type="gramStart"/>
      <w:r w:rsidRPr="001A4C1A">
        <w:rPr>
          <w:rFonts w:eastAsiaTheme="minorHAnsi"/>
          <w:color w:val="auto"/>
          <w:szCs w:val="24"/>
        </w:rPr>
        <w:t xml:space="preserve">) </w:t>
      </w:r>
      <w:r w:rsidRPr="001A4C1A">
        <w:rPr>
          <w:rFonts w:eastAsiaTheme="minorHAnsi"/>
          <w:color w:val="auto"/>
          <w:szCs w:val="24"/>
        </w:rPr>
        <w:cr/>
      </w:r>
      <w:r w:rsidR="006A3191">
        <w:rPr>
          <w:rFonts w:eastAsiaTheme="minorHAnsi"/>
          <w:color w:val="auto"/>
          <w:szCs w:val="24"/>
        </w:rPr>
        <w:t>of</w:t>
      </w:r>
      <w:proofErr w:type="gramEnd"/>
      <w:r w:rsidR="006A3191">
        <w:rPr>
          <w:rFonts w:eastAsiaTheme="minorHAnsi"/>
          <w:color w:val="auto"/>
          <w:szCs w:val="24"/>
        </w:rPr>
        <w:t xml:space="preserve"> Union Electric Company d/b/a Ameren Missouri</w:t>
      </w:r>
      <w:r w:rsidR="006A3191">
        <w:rPr>
          <w:rFonts w:eastAsiaTheme="minorHAnsi"/>
          <w:color w:val="auto"/>
          <w:szCs w:val="24"/>
        </w:rPr>
        <w:tab/>
        <w:t>)</w:t>
      </w:r>
      <w:r w:rsidR="00423363">
        <w:tab/>
      </w:r>
    </w:p>
    <w:p w:rsidR="00423363" w:rsidRDefault="00423363" w:rsidP="00423363"/>
    <w:p w:rsidR="00423363" w:rsidRPr="00C05A9C" w:rsidRDefault="00423363" w:rsidP="00423363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423363" w:rsidRPr="00C05A9C" w:rsidRDefault="00423363" w:rsidP="00423363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423363" w:rsidRPr="00C05A9C" w:rsidRDefault="00423363" w:rsidP="0042336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423363" w:rsidRPr="005F68E8" w:rsidRDefault="00423363" w:rsidP="0042336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423363" w:rsidRPr="00C05A9C" w:rsidRDefault="00423363" w:rsidP="0042336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423363" w:rsidRPr="00C05A9C" w:rsidRDefault="00423363" w:rsidP="00423363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423363" w:rsidRPr="00C05A9C" w:rsidRDefault="00423363" w:rsidP="00423363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lastRenderedPageBreak/>
        <w:t>WHEREFORE, MOSEIA requests that it be permitted to intervene and be made a party to this case for all purposes.</w:t>
      </w:r>
    </w:p>
    <w:p w:rsidR="00423363" w:rsidRPr="00C05A9C" w:rsidRDefault="00423363" w:rsidP="00423363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423363" w:rsidRPr="00C05A9C" w:rsidRDefault="00423363" w:rsidP="00423363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423363" w:rsidRPr="00C05A9C" w:rsidRDefault="00423363" w:rsidP="00423363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423363" w:rsidRPr="00C05A9C" w:rsidRDefault="00423363" w:rsidP="00423363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423363" w:rsidRPr="00C05A9C" w:rsidRDefault="00423363" w:rsidP="00423363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423363" w:rsidRPr="00C05A9C" w:rsidRDefault="00423363" w:rsidP="00423363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423363" w:rsidRPr="00C05A9C" w:rsidRDefault="00423363" w:rsidP="00423363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423363" w:rsidRPr="00C05A9C" w:rsidRDefault="00423363" w:rsidP="00423363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bookmarkStart w:id="0" w:name="_GoBack"/>
      <w:r w:rsidR="00A552D2">
        <w:rPr>
          <w:color w:val="auto"/>
        </w:rPr>
        <w:t>22</w:t>
      </w:r>
      <w:r w:rsidR="00A552D2" w:rsidRPr="00A552D2">
        <w:rPr>
          <w:color w:val="auto"/>
          <w:vertAlign w:val="superscript"/>
        </w:rPr>
        <w:t>nd</w:t>
      </w:r>
      <w:r w:rsidRPr="00C05A9C">
        <w:rPr>
          <w:color w:val="auto"/>
        </w:rPr>
        <w:t xml:space="preserve"> day of </w:t>
      </w:r>
      <w:r>
        <w:rPr>
          <w:color w:val="auto"/>
        </w:rPr>
        <w:t>April</w:t>
      </w:r>
      <w:r w:rsidRPr="00C05A9C">
        <w:rPr>
          <w:color w:val="auto"/>
        </w:rPr>
        <w:t>, 201</w:t>
      </w:r>
      <w:r>
        <w:rPr>
          <w:color w:val="auto"/>
        </w:rPr>
        <w:t>4</w:t>
      </w:r>
      <w:r w:rsidRPr="00C05A9C">
        <w:rPr>
          <w:color w:val="auto"/>
        </w:rPr>
        <w:t>.</w:t>
      </w:r>
    </w:p>
    <w:bookmarkEnd w:id="0"/>
    <w:p w:rsidR="00423363" w:rsidRPr="00C05A9C" w:rsidRDefault="00423363" w:rsidP="00423363">
      <w:pPr>
        <w:spacing w:line="240" w:lineRule="auto"/>
        <w:ind w:left="0" w:firstLine="720"/>
        <w:jc w:val="left"/>
        <w:rPr>
          <w:color w:val="auto"/>
        </w:rPr>
      </w:pPr>
    </w:p>
    <w:p w:rsidR="00423363" w:rsidRPr="00C05A9C" w:rsidRDefault="00423363" w:rsidP="00423363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423363" w:rsidRPr="00C05A9C" w:rsidRDefault="00423363" w:rsidP="00423363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423363" w:rsidRDefault="00423363" w:rsidP="00423363"/>
    <w:p w:rsidR="00B16B2A" w:rsidRDefault="00B16B2A"/>
    <w:sectPr w:rsidR="00B1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63"/>
    <w:rsid w:val="00423363"/>
    <w:rsid w:val="006A3191"/>
    <w:rsid w:val="00833322"/>
    <w:rsid w:val="00A552D2"/>
    <w:rsid w:val="00A674A4"/>
    <w:rsid w:val="00B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63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3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63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2014-04-22T22:13:00Z</dcterms:created>
  <dcterms:modified xsi:type="dcterms:W3CDTF">2014-04-22T22:13:00Z</dcterms:modified>
</cp:coreProperties>
</file>