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0C6" w:rsidRPr="00DC0ACC" w:rsidRDefault="005560C6">
      <w:pPr>
        <w:pStyle w:val="Title"/>
        <w:rPr>
          <w:szCs w:val="24"/>
        </w:rPr>
      </w:pPr>
      <w:r w:rsidRPr="00DC0ACC">
        <w:rPr>
          <w:szCs w:val="24"/>
        </w:rPr>
        <w:t>BEFORE THE PUBLIC SERVICE COMMISSION</w:t>
      </w:r>
    </w:p>
    <w:p w:rsidR="005560C6" w:rsidRPr="00DC0ACC" w:rsidRDefault="005560C6">
      <w:pPr>
        <w:jc w:val="center"/>
        <w:rPr>
          <w:b/>
          <w:sz w:val="24"/>
          <w:szCs w:val="24"/>
        </w:rPr>
      </w:pPr>
      <w:r w:rsidRPr="00DC0ACC">
        <w:rPr>
          <w:b/>
          <w:sz w:val="24"/>
          <w:szCs w:val="24"/>
        </w:rPr>
        <w:t xml:space="preserve">OF THE STATE OF </w:t>
      </w:r>
      <w:smartTag w:uri="urn:schemas-microsoft-com:office:smarttags" w:element="State">
        <w:smartTag w:uri="urn:schemas-microsoft-com:office:smarttags" w:element="place">
          <w:r w:rsidRPr="00DC0ACC">
            <w:rPr>
              <w:b/>
              <w:sz w:val="24"/>
              <w:szCs w:val="24"/>
            </w:rPr>
            <w:t>MISSOURI</w:t>
          </w:r>
        </w:smartTag>
      </w:smartTag>
    </w:p>
    <w:p w:rsidR="005560C6" w:rsidRPr="00BB5479" w:rsidRDefault="005560C6" w:rsidP="00D9146B">
      <w:pPr>
        <w:spacing w:line="360" w:lineRule="auto"/>
        <w:jc w:val="center"/>
        <w:rPr>
          <w:b/>
          <w:sz w:val="24"/>
          <w:szCs w:val="24"/>
        </w:rPr>
      </w:pPr>
    </w:p>
    <w:tbl>
      <w:tblPr>
        <w:tblW w:w="0" w:type="auto"/>
        <w:tblLayout w:type="fixed"/>
        <w:tblLook w:val="0000"/>
      </w:tblPr>
      <w:tblGrid>
        <w:gridCol w:w="4338"/>
        <w:gridCol w:w="270"/>
        <w:gridCol w:w="4248"/>
      </w:tblGrid>
      <w:tr w:rsidR="00BA4552" w:rsidRPr="00BB5479">
        <w:tc>
          <w:tcPr>
            <w:tcW w:w="4338" w:type="dxa"/>
          </w:tcPr>
          <w:p w:rsidR="00C836A7" w:rsidRPr="00BB5479" w:rsidRDefault="00BB5479" w:rsidP="008C2D60">
            <w:pPr>
              <w:rPr>
                <w:sz w:val="24"/>
                <w:szCs w:val="24"/>
              </w:rPr>
            </w:pPr>
            <w:r w:rsidRPr="00BB5479">
              <w:rPr>
                <w:color w:val="000000"/>
                <w:sz w:val="24"/>
                <w:szCs w:val="24"/>
              </w:rPr>
              <w:t xml:space="preserve">In the Matter of Ridge Creek Water Company, LLC's Application to Implement a General Rate Increase in Water Service </w:t>
            </w:r>
          </w:p>
          <w:p w:rsidR="00C836A7" w:rsidRPr="00BB5479" w:rsidRDefault="00C836A7" w:rsidP="00BB5479">
            <w:pPr>
              <w:rPr>
                <w:sz w:val="24"/>
                <w:szCs w:val="24"/>
              </w:rPr>
            </w:pPr>
          </w:p>
        </w:tc>
        <w:tc>
          <w:tcPr>
            <w:tcW w:w="270" w:type="dxa"/>
          </w:tcPr>
          <w:p w:rsidR="00BA4552" w:rsidRPr="00BB5479" w:rsidRDefault="00BA4552" w:rsidP="008C2D60">
            <w:pPr>
              <w:rPr>
                <w:b/>
                <w:sz w:val="24"/>
                <w:szCs w:val="24"/>
              </w:rPr>
            </w:pPr>
            <w:r w:rsidRPr="00BB5479">
              <w:rPr>
                <w:b/>
                <w:sz w:val="24"/>
                <w:szCs w:val="24"/>
              </w:rPr>
              <w:t>)</w:t>
            </w:r>
          </w:p>
          <w:p w:rsidR="00BA4552" w:rsidRPr="00BB5479" w:rsidRDefault="00BA4552" w:rsidP="008C2D60">
            <w:pPr>
              <w:rPr>
                <w:b/>
                <w:sz w:val="24"/>
                <w:szCs w:val="24"/>
              </w:rPr>
            </w:pPr>
            <w:r w:rsidRPr="00BB5479">
              <w:rPr>
                <w:b/>
                <w:sz w:val="24"/>
                <w:szCs w:val="24"/>
              </w:rPr>
              <w:t>)</w:t>
            </w:r>
          </w:p>
          <w:p w:rsidR="00BA4552" w:rsidRPr="00BB5479" w:rsidRDefault="00BA4552" w:rsidP="008C2D60">
            <w:pPr>
              <w:rPr>
                <w:b/>
                <w:sz w:val="24"/>
                <w:szCs w:val="24"/>
              </w:rPr>
            </w:pPr>
            <w:r w:rsidRPr="00BB5479">
              <w:rPr>
                <w:b/>
                <w:sz w:val="24"/>
                <w:szCs w:val="24"/>
              </w:rPr>
              <w:t>)</w:t>
            </w:r>
          </w:p>
          <w:p w:rsidR="00BA4552" w:rsidRPr="00BB5479" w:rsidRDefault="00BA4552" w:rsidP="008C2D60">
            <w:pPr>
              <w:rPr>
                <w:b/>
                <w:sz w:val="24"/>
                <w:szCs w:val="24"/>
              </w:rPr>
            </w:pPr>
            <w:r w:rsidRPr="00BB5479">
              <w:rPr>
                <w:b/>
                <w:sz w:val="24"/>
                <w:szCs w:val="24"/>
              </w:rPr>
              <w:t>)</w:t>
            </w:r>
          </w:p>
          <w:p w:rsidR="00AA6580" w:rsidRPr="00BB5479" w:rsidRDefault="00AA6580" w:rsidP="008C2D60">
            <w:pPr>
              <w:rPr>
                <w:b/>
                <w:sz w:val="24"/>
                <w:szCs w:val="24"/>
              </w:rPr>
            </w:pPr>
            <w:r w:rsidRPr="00BB5479">
              <w:rPr>
                <w:b/>
                <w:sz w:val="24"/>
                <w:szCs w:val="24"/>
              </w:rPr>
              <w:t>)</w:t>
            </w:r>
          </w:p>
          <w:p w:rsidR="00AA6580" w:rsidRPr="00BB5479" w:rsidRDefault="00AA6580" w:rsidP="008C2D60">
            <w:pPr>
              <w:rPr>
                <w:b/>
                <w:sz w:val="24"/>
                <w:szCs w:val="24"/>
              </w:rPr>
            </w:pPr>
            <w:r w:rsidRPr="00BB5479">
              <w:rPr>
                <w:b/>
                <w:sz w:val="24"/>
                <w:szCs w:val="24"/>
              </w:rPr>
              <w:t>)</w:t>
            </w:r>
          </w:p>
          <w:p w:rsidR="00AA6580" w:rsidRPr="00BB5479" w:rsidRDefault="00AA6580" w:rsidP="008C2D60">
            <w:pPr>
              <w:rPr>
                <w:b/>
                <w:sz w:val="24"/>
                <w:szCs w:val="24"/>
              </w:rPr>
            </w:pPr>
          </w:p>
          <w:p w:rsidR="00BA4552" w:rsidRPr="00BB5479" w:rsidRDefault="00BA4552" w:rsidP="00D9146B">
            <w:pPr>
              <w:spacing w:line="360" w:lineRule="auto"/>
              <w:rPr>
                <w:b/>
                <w:sz w:val="24"/>
                <w:szCs w:val="24"/>
              </w:rPr>
            </w:pPr>
          </w:p>
        </w:tc>
        <w:tc>
          <w:tcPr>
            <w:tcW w:w="4248" w:type="dxa"/>
            <w:vAlign w:val="center"/>
          </w:tcPr>
          <w:p w:rsidR="00001FCE" w:rsidRPr="00BB5479" w:rsidRDefault="00001FCE" w:rsidP="008C2D60">
            <w:pPr>
              <w:jc w:val="center"/>
              <w:rPr>
                <w:sz w:val="24"/>
                <w:szCs w:val="24"/>
              </w:rPr>
            </w:pPr>
          </w:p>
          <w:p w:rsidR="00BB5479" w:rsidRPr="00BB5479" w:rsidRDefault="00BA4552" w:rsidP="00BB5479">
            <w:pPr>
              <w:rPr>
                <w:sz w:val="24"/>
                <w:szCs w:val="24"/>
              </w:rPr>
            </w:pPr>
            <w:r w:rsidRPr="00BB5479">
              <w:rPr>
                <w:sz w:val="24"/>
                <w:szCs w:val="24"/>
              </w:rPr>
              <w:t xml:space="preserve">Case No. </w:t>
            </w:r>
            <w:r w:rsidR="00BB5479" w:rsidRPr="00BB5479">
              <w:rPr>
                <w:sz w:val="24"/>
                <w:szCs w:val="24"/>
              </w:rPr>
              <w:t>WR-2017-0042</w:t>
            </w:r>
          </w:p>
          <w:p w:rsidR="00BA4552" w:rsidRPr="00BB5479" w:rsidRDefault="00BA4552" w:rsidP="008C2D60">
            <w:pPr>
              <w:jc w:val="center"/>
              <w:rPr>
                <w:sz w:val="24"/>
                <w:szCs w:val="24"/>
              </w:rPr>
            </w:pPr>
          </w:p>
          <w:p w:rsidR="00BA4552" w:rsidRPr="00BB5479" w:rsidRDefault="00BA4552" w:rsidP="008C2D60">
            <w:pPr>
              <w:jc w:val="center"/>
              <w:rPr>
                <w:sz w:val="24"/>
                <w:szCs w:val="24"/>
              </w:rPr>
            </w:pPr>
          </w:p>
          <w:p w:rsidR="00BA4552" w:rsidRPr="00BB5479" w:rsidRDefault="00BA4552" w:rsidP="008C2D60">
            <w:pPr>
              <w:jc w:val="center"/>
              <w:rPr>
                <w:sz w:val="24"/>
                <w:szCs w:val="24"/>
              </w:rPr>
            </w:pPr>
          </w:p>
        </w:tc>
      </w:tr>
    </w:tbl>
    <w:p w:rsidR="00DC0ACC" w:rsidRPr="00346BBC" w:rsidRDefault="00BB5479" w:rsidP="00BB5479">
      <w:pPr>
        <w:tabs>
          <w:tab w:val="left" w:pos="720"/>
          <w:tab w:val="left" w:pos="1440"/>
          <w:tab w:val="left" w:pos="2160"/>
          <w:tab w:val="left" w:pos="2880"/>
          <w:tab w:val="left" w:pos="3600"/>
          <w:tab w:val="left" w:pos="4320"/>
          <w:tab w:val="right" w:pos="7920"/>
        </w:tabs>
        <w:ind w:right="720"/>
        <w:jc w:val="center"/>
        <w:rPr>
          <w:b/>
          <w:sz w:val="24"/>
          <w:szCs w:val="24"/>
          <w:u w:val="single"/>
        </w:rPr>
      </w:pPr>
      <w:r>
        <w:rPr>
          <w:b/>
          <w:sz w:val="24"/>
          <w:szCs w:val="24"/>
          <w:u w:val="single"/>
        </w:rPr>
        <w:t xml:space="preserve">MOTION FOR WAIVER &amp; TO COMPEL DISCOVERY OR, IN THE ALTERNATIVE, </w:t>
      </w:r>
      <w:r w:rsidR="00217C44">
        <w:rPr>
          <w:b/>
          <w:sz w:val="24"/>
          <w:szCs w:val="24"/>
          <w:u w:val="single"/>
        </w:rPr>
        <w:t xml:space="preserve">MOTION TO STAY </w:t>
      </w:r>
      <w:r w:rsidR="00956497">
        <w:rPr>
          <w:b/>
          <w:sz w:val="24"/>
          <w:szCs w:val="24"/>
          <w:u w:val="single"/>
        </w:rPr>
        <w:t>PROCEEDINGS</w:t>
      </w:r>
    </w:p>
    <w:p w:rsidR="00BB5479" w:rsidRDefault="00BB5479" w:rsidP="00956497">
      <w:pPr>
        <w:spacing w:line="480" w:lineRule="auto"/>
        <w:ind w:firstLine="720"/>
        <w:jc w:val="both"/>
        <w:rPr>
          <w:b/>
          <w:sz w:val="24"/>
          <w:szCs w:val="24"/>
        </w:rPr>
      </w:pPr>
    </w:p>
    <w:p w:rsidR="003A4F6B" w:rsidRPr="00956497" w:rsidRDefault="005560C6" w:rsidP="00956497">
      <w:pPr>
        <w:spacing w:line="480" w:lineRule="auto"/>
        <w:ind w:firstLine="720"/>
        <w:jc w:val="both"/>
        <w:rPr>
          <w:sz w:val="24"/>
          <w:szCs w:val="24"/>
        </w:rPr>
      </w:pPr>
      <w:r w:rsidRPr="00DC0ACC">
        <w:rPr>
          <w:b/>
          <w:sz w:val="24"/>
          <w:szCs w:val="24"/>
        </w:rPr>
        <w:t xml:space="preserve">COMES NOW </w:t>
      </w:r>
      <w:r w:rsidR="001E7BF0" w:rsidRPr="00DC0ACC">
        <w:rPr>
          <w:sz w:val="24"/>
          <w:szCs w:val="24"/>
        </w:rPr>
        <w:t xml:space="preserve">the </w:t>
      </w:r>
      <w:r w:rsidR="00293EC4">
        <w:rPr>
          <w:sz w:val="24"/>
          <w:szCs w:val="24"/>
        </w:rPr>
        <w:t xml:space="preserve">Missouri </w:t>
      </w:r>
      <w:r w:rsidR="001E7BF0" w:rsidRPr="00DC0ACC">
        <w:rPr>
          <w:sz w:val="24"/>
          <w:szCs w:val="24"/>
        </w:rPr>
        <w:t>Office of the Public Counsel</w:t>
      </w:r>
      <w:r w:rsidRPr="00DC0ACC">
        <w:rPr>
          <w:sz w:val="24"/>
          <w:szCs w:val="24"/>
        </w:rPr>
        <w:t xml:space="preserve"> </w:t>
      </w:r>
      <w:r w:rsidR="00AA6580">
        <w:rPr>
          <w:sz w:val="24"/>
          <w:szCs w:val="24"/>
        </w:rPr>
        <w:t>(</w:t>
      </w:r>
      <w:r w:rsidR="00D40080">
        <w:rPr>
          <w:sz w:val="24"/>
          <w:szCs w:val="24"/>
        </w:rPr>
        <w:t>“</w:t>
      </w:r>
      <w:r w:rsidR="00AA6580">
        <w:rPr>
          <w:sz w:val="24"/>
          <w:szCs w:val="24"/>
        </w:rPr>
        <w:t>OPC</w:t>
      </w:r>
      <w:r w:rsidR="00D40080">
        <w:rPr>
          <w:sz w:val="24"/>
          <w:szCs w:val="24"/>
        </w:rPr>
        <w:t>”</w:t>
      </w:r>
      <w:r w:rsidR="00AA6580">
        <w:rPr>
          <w:sz w:val="24"/>
          <w:szCs w:val="24"/>
        </w:rPr>
        <w:t xml:space="preserve">) </w:t>
      </w:r>
      <w:r w:rsidR="00BA4552">
        <w:rPr>
          <w:sz w:val="24"/>
          <w:szCs w:val="24"/>
        </w:rPr>
        <w:t>and</w:t>
      </w:r>
      <w:r w:rsidR="00001FCE">
        <w:rPr>
          <w:sz w:val="24"/>
          <w:szCs w:val="24"/>
        </w:rPr>
        <w:t xml:space="preserve"> for its</w:t>
      </w:r>
      <w:r w:rsidR="00BB5479">
        <w:rPr>
          <w:sz w:val="24"/>
          <w:szCs w:val="24"/>
        </w:rPr>
        <w:t xml:space="preserve"> Motion for a Waiver in Discovery Rules and, subsequently, for a Motion to Compel Discovery or, in the Alternative, to</w:t>
      </w:r>
      <w:r w:rsidR="00956497">
        <w:rPr>
          <w:sz w:val="24"/>
          <w:szCs w:val="24"/>
        </w:rPr>
        <w:t xml:space="preserve"> Stay Proceedings on the above-captioned</w:t>
      </w:r>
      <w:r w:rsidR="003F6E87">
        <w:rPr>
          <w:sz w:val="24"/>
          <w:szCs w:val="24"/>
        </w:rPr>
        <w:t xml:space="preserve"> </w:t>
      </w:r>
      <w:r w:rsidR="00BB5479">
        <w:rPr>
          <w:sz w:val="24"/>
          <w:szCs w:val="24"/>
        </w:rPr>
        <w:t xml:space="preserve">rate case initiated by Ridge Creek Water Company, LLC (“the Company”) </w:t>
      </w:r>
      <w:r w:rsidR="00956497">
        <w:rPr>
          <w:sz w:val="24"/>
          <w:szCs w:val="24"/>
        </w:rPr>
        <w:t xml:space="preserve">and </w:t>
      </w:r>
      <w:r w:rsidR="00AA6580">
        <w:rPr>
          <w:sz w:val="24"/>
          <w:szCs w:val="24"/>
        </w:rPr>
        <w:t>states</w:t>
      </w:r>
      <w:r w:rsidR="00251D2A">
        <w:rPr>
          <w:sz w:val="24"/>
          <w:szCs w:val="24"/>
        </w:rPr>
        <w:t xml:space="preserve"> as follows</w:t>
      </w:r>
      <w:r w:rsidR="00AA6580">
        <w:rPr>
          <w:sz w:val="24"/>
          <w:szCs w:val="24"/>
        </w:rPr>
        <w:t>:</w:t>
      </w:r>
    </w:p>
    <w:p w:rsidR="00397F56" w:rsidRDefault="003F6E87" w:rsidP="007B6747">
      <w:pPr>
        <w:spacing w:line="480" w:lineRule="auto"/>
        <w:ind w:firstLine="720"/>
        <w:jc w:val="both"/>
        <w:rPr>
          <w:sz w:val="24"/>
          <w:szCs w:val="24"/>
        </w:rPr>
      </w:pPr>
      <w:r>
        <w:rPr>
          <w:sz w:val="24"/>
          <w:szCs w:val="24"/>
        </w:rPr>
        <w:t>1.</w:t>
      </w:r>
      <w:r>
        <w:rPr>
          <w:sz w:val="24"/>
          <w:szCs w:val="24"/>
        </w:rPr>
        <w:tab/>
      </w:r>
      <w:r w:rsidR="00BB5479">
        <w:rPr>
          <w:sz w:val="24"/>
          <w:szCs w:val="24"/>
        </w:rPr>
        <w:t>The Company filed its Notice to file an Application to Implement a General Rate Increase on August 12</w:t>
      </w:r>
      <w:r w:rsidR="00BB5479" w:rsidRPr="00BB5479">
        <w:rPr>
          <w:sz w:val="24"/>
          <w:szCs w:val="24"/>
          <w:vertAlign w:val="superscript"/>
        </w:rPr>
        <w:t>th</w:t>
      </w:r>
      <w:r w:rsidR="00BB5479">
        <w:rPr>
          <w:sz w:val="24"/>
          <w:szCs w:val="24"/>
        </w:rPr>
        <w:t xml:space="preserve"> of 2016.</w:t>
      </w:r>
    </w:p>
    <w:p w:rsidR="00BB5479" w:rsidRDefault="00BB5479" w:rsidP="007B6747">
      <w:pPr>
        <w:spacing w:line="480" w:lineRule="auto"/>
        <w:ind w:firstLine="720"/>
        <w:jc w:val="both"/>
        <w:rPr>
          <w:sz w:val="24"/>
          <w:szCs w:val="24"/>
        </w:rPr>
      </w:pPr>
      <w:r>
        <w:rPr>
          <w:sz w:val="24"/>
          <w:szCs w:val="24"/>
        </w:rPr>
        <w:t>2.</w:t>
      </w:r>
      <w:r>
        <w:rPr>
          <w:sz w:val="24"/>
          <w:szCs w:val="24"/>
        </w:rPr>
        <w:tab/>
        <w:t>This Application was filed pursuant to a Stipulation and Agreement reached by applicable parties on September 2</w:t>
      </w:r>
      <w:r w:rsidRPr="00BB5479">
        <w:rPr>
          <w:sz w:val="24"/>
          <w:szCs w:val="24"/>
          <w:vertAlign w:val="superscript"/>
        </w:rPr>
        <w:t>nd</w:t>
      </w:r>
      <w:r>
        <w:rPr>
          <w:sz w:val="24"/>
          <w:szCs w:val="24"/>
        </w:rPr>
        <w:t xml:space="preserve"> of 2015 that allowed the Company to provide water service partially on the condition that a “general rate case be filed within 30 days of the 1</w:t>
      </w:r>
      <w:r w:rsidRPr="00BB5479">
        <w:rPr>
          <w:sz w:val="24"/>
          <w:szCs w:val="24"/>
          <w:vertAlign w:val="superscript"/>
        </w:rPr>
        <w:t>st</w:t>
      </w:r>
      <w:r>
        <w:rPr>
          <w:sz w:val="24"/>
          <w:szCs w:val="24"/>
        </w:rPr>
        <w:t xml:space="preserve"> anniversary of the effective date of the order approving (said) Stipulation and Agreement.”</w:t>
      </w:r>
    </w:p>
    <w:p w:rsidR="00397F56" w:rsidRDefault="00EA6050" w:rsidP="00397F56">
      <w:pPr>
        <w:spacing w:line="480" w:lineRule="auto"/>
        <w:ind w:firstLine="720"/>
        <w:jc w:val="both"/>
        <w:rPr>
          <w:sz w:val="24"/>
          <w:szCs w:val="24"/>
        </w:rPr>
      </w:pPr>
      <w:r>
        <w:rPr>
          <w:sz w:val="24"/>
          <w:szCs w:val="24"/>
        </w:rPr>
        <w:t>3</w:t>
      </w:r>
      <w:r w:rsidR="00397F56">
        <w:rPr>
          <w:sz w:val="24"/>
          <w:szCs w:val="24"/>
        </w:rPr>
        <w:t>.</w:t>
      </w:r>
      <w:r w:rsidR="00397F56">
        <w:rPr>
          <w:sz w:val="24"/>
          <w:szCs w:val="24"/>
        </w:rPr>
        <w:tab/>
      </w:r>
      <w:r w:rsidR="00BB5479">
        <w:rPr>
          <w:sz w:val="24"/>
          <w:szCs w:val="24"/>
        </w:rPr>
        <w:t>After request sought by the Company and, without objection from the Public Service Commission Staff, the Public Service Commission (“Commission”) granted the Company until November 14</w:t>
      </w:r>
      <w:r w:rsidR="00BB5479" w:rsidRPr="00BB5479">
        <w:rPr>
          <w:sz w:val="24"/>
          <w:szCs w:val="24"/>
          <w:vertAlign w:val="superscript"/>
        </w:rPr>
        <w:t>th</w:t>
      </w:r>
      <w:r w:rsidR="00BB5479">
        <w:rPr>
          <w:sz w:val="24"/>
          <w:szCs w:val="24"/>
        </w:rPr>
        <w:t xml:space="preserve"> of 2016 to file its Rate Increase</w:t>
      </w:r>
      <w:r w:rsidR="00AA75DB">
        <w:rPr>
          <w:sz w:val="24"/>
          <w:szCs w:val="24"/>
        </w:rPr>
        <w:t xml:space="preserve">.     </w:t>
      </w:r>
    </w:p>
    <w:p w:rsidR="00E42E0B" w:rsidRDefault="00EA6050" w:rsidP="00E42E0B">
      <w:pPr>
        <w:spacing w:line="480" w:lineRule="auto"/>
        <w:ind w:firstLine="720"/>
        <w:jc w:val="both"/>
        <w:rPr>
          <w:sz w:val="24"/>
          <w:szCs w:val="24"/>
        </w:rPr>
      </w:pPr>
      <w:r>
        <w:rPr>
          <w:sz w:val="24"/>
          <w:szCs w:val="24"/>
        </w:rPr>
        <w:lastRenderedPageBreak/>
        <w:t>4</w:t>
      </w:r>
      <w:r w:rsidR="00E42E0B" w:rsidRPr="00E42E0B">
        <w:rPr>
          <w:sz w:val="24"/>
          <w:szCs w:val="24"/>
        </w:rPr>
        <w:t xml:space="preserve">. </w:t>
      </w:r>
      <w:r w:rsidR="00E42E0B" w:rsidRPr="00E42E0B">
        <w:rPr>
          <w:sz w:val="24"/>
          <w:szCs w:val="24"/>
        </w:rPr>
        <w:tab/>
      </w:r>
      <w:r w:rsidR="00E42E0B">
        <w:rPr>
          <w:sz w:val="24"/>
          <w:szCs w:val="24"/>
        </w:rPr>
        <w:t>OPC</w:t>
      </w:r>
      <w:r w:rsidR="009644C0">
        <w:rPr>
          <w:sz w:val="24"/>
          <w:szCs w:val="24"/>
        </w:rPr>
        <w:t>,</w:t>
      </w:r>
      <w:r w:rsidR="00BB5479">
        <w:rPr>
          <w:sz w:val="24"/>
          <w:szCs w:val="24"/>
        </w:rPr>
        <w:t xml:space="preserve"> in an attempt to determine if it would challenge this rate increase, sent twenty-nine data requests (“DR”’s) the Company on November 15</w:t>
      </w:r>
      <w:r w:rsidR="00BB5479" w:rsidRPr="00BB5479">
        <w:rPr>
          <w:sz w:val="24"/>
          <w:szCs w:val="24"/>
          <w:vertAlign w:val="superscript"/>
        </w:rPr>
        <w:t>th</w:t>
      </w:r>
      <w:r w:rsidR="00BB5479">
        <w:rPr>
          <w:sz w:val="24"/>
          <w:szCs w:val="24"/>
        </w:rPr>
        <w:t xml:space="preserve"> of 2016</w:t>
      </w:r>
      <w:r w:rsidR="005C1B7A">
        <w:rPr>
          <w:sz w:val="24"/>
          <w:szCs w:val="24"/>
        </w:rPr>
        <w:t>.</w:t>
      </w:r>
      <w:r w:rsidR="00BB5479">
        <w:rPr>
          <w:sz w:val="24"/>
          <w:szCs w:val="24"/>
        </w:rPr>
        <w:t xml:space="preserve"> While initially sent to the counsel of record, OPC</w:t>
      </w:r>
      <w:r w:rsidR="00624A94">
        <w:rPr>
          <w:sz w:val="24"/>
          <w:szCs w:val="24"/>
        </w:rPr>
        <w:t xml:space="preserve"> also</w:t>
      </w:r>
      <w:r w:rsidR="00BB5479">
        <w:rPr>
          <w:sz w:val="24"/>
          <w:szCs w:val="24"/>
        </w:rPr>
        <w:t xml:space="preserve"> directly sent these to the Company on November 18</w:t>
      </w:r>
      <w:r w:rsidR="00BB5479" w:rsidRPr="00BB5479">
        <w:rPr>
          <w:sz w:val="24"/>
          <w:szCs w:val="24"/>
          <w:vertAlign w:val="superscript"/>
        </w:rPr>
        <w:t>th</w:t>
      </w:r>
      <w:r w:rsidR="00BB5479">
        <w:rPr>
          <w:sz w:val="24"/>
          <w:szCs w:val="24"/>
        </w:rPr>
        <w:t>.</w:t>
      </w:r>
    </w:p>
    <w:p w:rsidR="00024E73" w:rsidRDefault="00024E73" w:rsidP="00E42E0B">
      <w:pPr>
        <w:spacing w:line="480" w:lineRule="auto"/>
        <w:ind w:firstLine="720"/>
        <w:jc w:val="both"/>
        <w:rPr>
          <w:sz w:val="24"/>
          <w:szCs w:val="24"/>
        </w:rPr>
      </w:pPr>
      <w:r>
        <w:rPr>
          <w:sz w:val="24"/>
          <w:szCs w:val="24"/>
        </w:rPr>
        <w:t>5.</w:t>
      </w:r>
      <w:r>
        <w:rPr>
          <w:sz w:val="24"/>
          <w:szCs w:val="24"/>
        </w:rPr>
        <w:tab/>
        <w:t>Also on November 18</w:t>
      </w:r>
      <w:r w:rsidRPr="00024E73">
        <w:rPr>
          <w:sz w:val="24"/>
          <w:szCs w:val="24"/>
          <w:vertAlign w:val="superscript"/>
        </w:rPr>
        <w:t>th</w:t>
      </w:r>
      <w:r>
        <w:rPr>
          <w:sz w:val="24"/>
          <w:szCs w:val="24"/>
        </w:rPr>
        <w:t xml:space="preserve">, the Commission issued a Small Water Company Procedural Schedule outlining deadlines for the completion of certain matters including when discovery information was due. </w:t>
      </w:r>
    </w:p>
    <w:p w:rsidR="009C2F4E" w:rsidRDefault="00EA6050" w:rsidP="00A71DBA">
      <w:pPr>
        <w:spacing w:line="480" w:lineRule="auto"/>
        <w:ind w:firstLine="720"/>
        <w:jc w:val="both"/>
        <w:rPr>
          <w:sz w:val="24"/>
          <w:szCs w:val="24"/>
        </w:rPr>
      </w:pPr>
      <w:r>
        <w:rPr>
          <w:sz w:val="24"/>
          <w:szCs w:val="24"/>
        </w:rPr>
        <w:t>5</w:t>
      </w:r>
      <w:r w:rsidR="005936DE">
        <w:rPr>
          <w:sz w:val="24"/>
          <w:szCs w:val="24"/>
        </w:rPr>
        <w:t>.</w:t>
      </w:r>
      <w:r w:rsidR="005936DE">
        <w:rPr>
          <w:sz w:val="24"/>
          <w:szCs w:val="24"/>
        </w:rPr>
        <w:tab/>
      </w:r>
      <w:r w:rsidR="00BB5479">
        <w:rPr>
          <w:sz w:val="24"/>
          <w:szCs w:val="24"/>
        </w:rPr>
        <w:t>No objection was lodged by the Company and said DR’s were due to the OPC on December 5</w:t>
      </w:r>
      <w:r w:rsidR="00BB5479">
        <w:rPr>
          <w:sz w:val="24"/>
          <w:szCs w:val="24"/>
          <w:vertAlign w:val="superscript"/>
        </w:rPr>
        <w:t xml:space="preserve">th </w:t>
      </w:r>
      <w:r w:rsidR="00BB5479">
        <w:rPr>
          <w:sz w:val="24"/>
          <w:szCs w:val="24"/>
        </w:rPr>
        <w:t xml:space="preserve">with no answers provided. </w:t>
      </w:r>
    </w:p>
    <w:p w:rsidR="00A71DBA" w:rsidRDefault="00EA6050" w:rsidP="00A71DBA">
      <w:pPr>
        <w:spacing w:line="480" w:lineRule="auto"/>
        <w:ind w:firstLine="720"/>
        <w:jc w:val="both"/>
        <w:rPr>
          <w:sz w:val="24"/>
          <w:szCs w:val="24"/>
        </w:rPr>
      </w:pPr>
      <w:r>
        <w:rPr>
          <w:sz w:val="24"/>
          <w:szCs w:val="24"/>
        </w:rPr>
        <w:t>6</w:t>
      </w:r>
      <w:r w:rsidR="00A71DBA">
        <w:rPr>
          <w:sz w:val="24"/>
          <w:szCs w:val="24"/>
        </w:rPr>
        <w:t>.</w:t>
      </w:r>
      <w:r w:rsidR="00A71DBA">
        <w:rPr>
          <w:sz w:val="24"/>
          <w:szCs w:val="24"/>
        </w:rPr>
        <w:tab/>
      </w:r>
      <w:r w:rsidR="00BB5479">
        <w:rPr>
          <w:sz w:val="24"/>
          <w:szCs w:val="24"/>
        </w:rPr>
        <w:t>On December 12</w:t>
      </w:r>
      <w:r w:rsidR="00BB5479" w:rsidRPr="00BB5479">
        <w:rPr>
          <w:sz w:val="24"/>
          <w:szCs w:val="24"/>
          <w:vertAlign w:val="superscript"/>
        </w:rPr>
        <w:t>th</w:t>
      </w:r>
      <w:r w:rsidR="00BB5479">
        <w:rPr>
          <w:sz w:val="24"/>
          <w:szCs w:val="24"/>
        </w:rPr>
        <w:t>, OPC initiated communication with the Company’s counsel of record who indicated it was appropriate to communicate directly with the Company</w:t>
      </w:r>
      <w:r w:rsidR="00A56756">
        <w:rPr>
          <w:sz w:val="24"/>
          <w:szCs w:val="24"/>
        </w:rPr>
        <w:t>.</w:t>
      </w:r>
    </w:p>
    <w:p w:rsidR="00A71DBA" w:rsidRDefault="00EA6050" w:rsidP="00BB5479">
      <w:pPr>
        <w:spacing w:line="480" w:lineRule="auto"/>
        <w:ind w:firstLine="720"/>
        <w:jc w:val="both"/>
        <w:rPr>
          <w:sz w:val="24"/>
          <w:szCs w:val="24"/>
        </w:rPr>
      </w:pPr>
      <w:r>
        <w:rPr>
          <w:sz w:val="24"/>
          <w:szCs w:val="24"/>
        </w:rPr>
        <w:t>7</w:t>
      </w:r>
      <w:r w:rsidR="00BB5479">
        <w:rPr>
          <w:sz w:val="24"/>
          <w:szCs w:val="24"/>
        </w:rPr>
        <w:t>.</w:t>
      </w:r>
      <w:r w:rsidR="00BB5479">
        <w:rPr>
          <w:sz w:val="24"/>
          <w:szCs w:val="24"/>
        </w:rPr>
        <w:tab/>
        <w:t>Despite sending emails and making phone calls, the Company has failed to respond to OPC seeking any response regarding these DR’s.</w:t>
      </w:r>
      <w:r w:rsidR="00A71DBA">
        <w:rPr>
          <w:sz w:val="24"/>
          <w:szCs w:val="24"/>
        </w:rPr>
        <w:t xml:space="preserve"> </w:t>
      </w:r>
    </w:p>
    <w:p w:rsidR="00BB5479" w:rsidRDefault="00EA6050" w:rsidP="00BB5479">
      <w:pPr>
        <w:spacing w:line="480" w:lineRule="auto"/>
        <w:ind w:firstLine="720"/>
        <w:jc w:val="both"/>
        <w:rPr>
          <w:sz w:val="24"/>
          <w:szCs w:val="24"/>
        </w:rPr>
      </w:pPr>
      <w:r>
        <w:rPr>
          <w:sz w:val="24"/>
          <w:szCs w:val="24"/>
        </w:rPr>
        <w:t>8</w:t>
      </w:r>
      <w:r w:rsidR="00BB5479">
        <w:rPr>
          <w:sz w:val="24"/>
          <w:szCs w:val="24"/>
        </w:rPr>
        <w:t>.</w:t>
      </w:r>
      <w:r w:rsidR="00BB5479">
        <w:rPr>
          <w:sz w:val="24"/>
          <w:szCs w:val="24"/>
        </w:rPr>
        <w:tab/>
        <w:t xml:space="preserve">OPC has engaged with Staff on meaningful ways to resolve this issue – including scheduling a visit to the Company to go through records. However, these parties have been unable to reach a mutually-agreeable solution. </w:t>
      </w:r>
    </w:p>
    <w:p w:rsidR="00EA6050" w:rsidRDefault="00EA6050" w:rsidP="00BB5479">
      <w:pPr>
        <w:spacing w:line="480" w:lineRule="auto"/>
        <w:ind w:firstLine="720"/>
        <w:jc w:val="both"/>
        <w:rPr>
          <w:sz w:val="24"/>
          <w:szCs w:val="24"/>
        </w:rPr>
      </w:pPr>
      <w:r>
        <w:rPr>
          <w:sz w:val="24"/>
          <w:szCs w:val="24"/>
        </w:rPr>
        <w:t>9.</w:t>
      </w:r>
      <w:r>
        <w:rPr>
          <w:sz w:val="24"/>
          <w:szCs w:val="24"/>
        </w:rPr>
        <w:tab/>
        <w:t xml:space="preserve">Discussions have also occurred during these conversations that the Company may be voluntarily seeking a receivership but that no formal filing has occurred. </w:t>
      </w:r>
    </w:p>
    <w:p w:rsidR="00057BDA" w:rsidRDefault="00EA6050" w:rsidP="00057BDA">
      <w:pPr>
        <w:spacing w:line="480" w:lineRule="auto"/>
        <w:jc w:val="both"/>
        <w:rPr>
          <w:sz w:val="24"/>
          <w:szCs w:val="24"/>
        </w:rPr>
      </w:pPr>
      <w:r>
        <w:rPr>
          <w:sz w:val="24"/>
          <w:szCs w:val="24"/>
        </w:rPr>
        <w:tab/>
        <w:t>10</w:t>
      </w:r>
      <w:r w:rsidR="0010101B">
        <w:rPr>
          <w:sz w:val="24"/>
          <w:szCs w:val="24"/>
        </w:rPr>
        <w:t xml:space="preserve">.         </w:t>
      </w:r>
      <w:r w:rsidR="00BB5479">
        <w:rPr>
          <w:sz w:val="24"/>
          <w:szCs w:val="24"/>
        </w:rPr>
        <w:t>As the Company has not returned any emails or phone calls, it is impracticable to engage in the proscribed discovery resolution methods outlined in the Commission regulations</w:t>
      </w:r>
      <w:r w:rsidR="00057BDA">
        <w:rPr>
          <w:sz w:val="24"/>
          <w:szCs w:val="24"/>
        </w:rPr>
        <w:t xml:space="preserve">. </w:t>
      </w:r>
    </w:p>
    <w:p w:rsidR="00057BDA" w:rsidRDefault="00057BDA" w:rsidP="00057BDA">
      <w:pPr>
        <w:spacing w:line="480" w:lineRule="auto"/>
        <w:jc w:val="both"/>
        <w:rPr>
          <w:sz w:val="24"/>
          <w:szCs w:val="24"/>
        </w:rPr>
      </w:pPr>
      <w:r>
        <w:rPr>
          <w:sz w:val="24"/>
          <w:szCs w:val="24"/>
        </w:rPr>
        <w:lastRenderedPageBreak/>
        <w:tab/>
      </w:r>
      <w:r w:rsidR="00EA6050">
        <w:rPr>
          <w:sz w:val="24"/>
          <w:szCs w:val="24"/>
        </w:rPr>
        <w:t>11</w:t>
      </w:r>
      <w:r>
        <w:rPr>
          <w:sz w:val="24"/>
          <w:szCs w:val="24"/>
        </w:rPr>
        <w:t xml:space="preserve">. </w:t>
      </w:r>
      <w:r>
        <w:rPr>
          <w:sz w:val="24"/>
          <w:szCs w:val="24"/>
        </w:rPr>
        <w:tab/>
      </w:r>
      <w:r w:rsidR="00EA6050">
        <w:rPr>
          <w:sz w:val="24"/>
          <w:szCs w:val="24"/>
        </w:rPr>
        <w:t>As a result, OPC seeks an Order compelling the Company discovery with sanctions including the voiding and nullification of the Stipulation and Agreement</w:t>
      </w:r>
      <w:r>
        <w:rPr>
          <w:sz w:val="24"/>
          <w:szCs w:val="24"/>
        </w:rPr>
        <w:t xml:space="preserve">. </w:t>
      </w:r>
    </w:p>
    <w:p w:rsidR="00057BDA" w:rsidRPr="00A71DBA" w:rsidRDefault="00057BDA" w:rsidP="00057BDA">
      <w:pPr>
        <w:spacing w:line="480" w:lineRule="auto"/>
        <w:jc w:val="both"/>
        <w:rPr>
          <w:sz w:val="24"/>
          <w:szCs w:val="24"/>
        </w:rPr>
      </w:pPr>
      <w:r>
        <w:rPr>
          <w:sz w:val="24"/>
          <w:szCs w:val="24"/>
        </w:rPr>
        <w:tab/>
      </w:r>
      <w:r w:rsidR="00EA6050">
        <w:rPr>
          <w:sz w:val="24"/>
          <w:szCs w:val="24"/>
        </w:rPr>
        <w:t>12.</w:t>
      </w:r>
      <w:r w:rsidR="00EA6050">
        <w:rPr>
          <w:sz w:val="24"/>
          <w:szCs w:val="24"/>
        </w:rPr>
        <w:tab/>
        <w:t>In the alternative, OPC believes that staying this procedure until a voluntary receivership is filed would result in a fair and equitable solution to all interested parties</w:t>
      </w:r>
      <w:r>
        <w:rPr>
          <w:sz w:val="24"/>
          <w:szCs w:val="24"/>
        </w:rPr>
        <w:t xml:space="preserve">. </w:t>
      </w:r>
    </w:p>
    <w:p w:rsidR="00CE4E4F" w:rsidRDefault="00F21279" w:rsidP="00346BBC">
      <w:pPr>
        <w:spacing w:line="480" w:lineRule="auto"/>
        <w:ind w:firstLine="720"/>
        <w:jc w:val="both"/>
        <w:rPr>
          <w:sz w:val="24"/>
          <w:szCs w:val="24"/>
        </w:rPr>
      </w:pPr>
      <w:r>
        <w:rPr>
          <w:sz w:val="24"/>
          <w:szCs w:val="24"/>
        </w:rPr>
        <w:t>WHEREFORE, the Office of the Public Counsel respectfully requests that the Commission</w:t>
      </w:r>
      <w:r w:rsidR="00057BDA">
        <w:rPr>
          <w:sz w:val="24"/>
          <w:szCs w:val="24"/>
        </w:rPr>
        <w:t xml:space="preserve"> </w:t>
      </w:r>
      <w:r w:rsidR="00EA6050">
        <w:rPr>
          <w:sz w:val="24"/>
          <w:szCs w:val="24"/>
        </w:rPr>
        <w:t>waive all requirements until its regulations and file an Order compelling Ridge Creek Water Company, LLC to comply with producing responsive answers to the Office of Public Counsel data requests with a specific provision that a failure to comply with said Order will void and nullify the Stipulation and Agreement approved on September 2</w:t>
      </w:r>
      <w:r w:rsidR="00EA6050" w:rsidRPr="00EA6050">
        <w:rPr>
          <w:sz w:val="24"/>
          <w:szCs w:val="24"/>
          <w:vertAlign w:val="superscript"/>
        </w:rPr>
        <w:t>nd</w:t>
      </w:r>
      <w:r w:rsidR="00EA6050">
        <w:rPr>
          <w:sz w:val="24"/>
          <w:szCs w:val="24"/>
        </w:rPr>
        <w:t xml:space="preserve"> of 2015. In the alternative, the Office of Public Counsel would seek a </w:t>
      </w:r>
      <w:r w:rsidR="00057BDA">
        <w:rPr>
          <w:sz w:val="24"/>
          <w:szCs w:val="24"/>
        </w:rPr>
        <w:t>stay</w:t>
      </w:r>
      <w:r w:rsidR="00EA6050">
        <w:rPr>
          <w:sz w:val="24"/>
          <w:szCs w:val="24"/>
        </w:rPr>
        <w:t xml:space="preserve"> in</w:t>
      </w:r>
      <w:r w:rsidR="00057BDA">
        <w:rPr>
          <w:sz w:val="24"/>
          <w:szCs w:val="24"/>
        </w:rPr>
        <w:t xml:space="preserve"> the proceedings of the above-captioned </w:t>
      </w:r>
      <w:r w:rsidR="00EA6050">
        <w:rPr>
          <w:sz w:val="24"/>
          <w:szCs w:val="24"/>
        </w:rPr>
        <w:t xml:space="preserve">matter </w:t>
      </w:r>
      <w:r w:rsidR="00057BDA">
        <w:rPr>
          <w:sz w:val="24"/>
          <w:szCs w:val="24"/>
        </w:rPr>
        <w:t>until the commencement</w:t>
      </w:r>
      <w:r w:rsidR="00EA6050">
        <w:rPr>
          <w:sz w:val="24"/>
          <w:szCs w:val="24"/>
        </w:rPr>
        <w:t xml:space="preserve"> of a Voluntary Receivership </w:t>
      </w:r>
      <w:proofErr w:type="spellStart"/>
      <w:r w:rsidR="00EA6050">
        <w:rPr>
          <w:sz w:val="24"/>
          <w:szCs w:val="24"/>
        </w:rPr>
        <w:t>Petiton</w:t>
      </w:r>
      <w:proofErr w:type="spellEnd"/>
      <w:r w:rsidR="00BC3CAF">
        <w:rPr>
          <w:sz w:val="24"/>
          <w:szCs w:val="24"/>
        </w:rPr>
        <w:t>.</w:t>
      </w:r>
    </w:p>
    <w:p w:rsidR="00057BDA" w:rsidRDefault="00057BDA" w:rsidP="00346BBC">
      <w:pPr>
        <w:spacing w:line="480" w:lineRule="auto"/>
        <w:ind w:firstLine="720"/>
        <w:jc w:val="both"/>
        <w:rPr>
          <w:szCs w:val="24"/>
        </w:rPr>
      </w:pPr>
    </w:p>
    <w:p w:rsidR="001E7BF0" w:rsidRDefault="001E7BF0" w:rsidP="001E7BF0">
      <w:pPr>
        <w:pStyle w:val="BodyTextIndent"/>
        <w:ind w:left="3600"/>
        <w:rPr>
          <w:szCs w:val="24"/>
        </w:rPr>
      </w:pPr>
      <w:r w:rsidRPr="00DC0ACC">
        <w:rPr>
          <w:szCs w:val="24"/>
        </w:rPr>
        <w:tab/>
      </w:r>
      <w:r w:rsidR="005560C6" w:rsidRPr="00DC0ACC">
        <w:rPr>
          <w:szCs w:val="24"/>
        </w:rPr>
        <w:tab/>
      </w:r>
      <w:r w:rsidRPr="00DC0ACC">
        <w:rPr>
          <w:szCs w:val="24"/>
        </w:rPr>
        <w:t>Respectfully submitted,</w:t>
      </w:r>
    </w:p>
    <w:p w:rsidR="00FD2D07" w:rsidRPr="00DC0ACC" w:rsidRDefault="00FD2D07" w:rsidP="001E7BF0">
      <w:pPr>
        <w:pStyle w:val="BodyTextIndent"/>
        <w:ind w:left="3600"/>
        <w:rPr>
          <w:b/>
          <w:szCs w:val="24"/>
        </w:rPr>
      </w:pPr>
    </w:p>
    <w:p w:rsidR="001E7BF0" w:rsidRPr="00DC0ACC" w:rsidRDefault="001E7BF0" w:rsidP="001E7BF0">
      <w:pPr>
        <w:rPr>
          <w:sz w:val="24"/>
          <w:szCs w:val="24"/>
        </w:rPr>
      </w:pPr>
      <w:r w:rsidRPr="00DC0ACC">
        <w:rPr>
          <w:sz w:val="24"/>
          <w:szCs w:val="24"/>
        </w:rPr>
        <w:tab/>
      </w:r>
      <w:r w:rsidRPr="00DC0ACC">
        <w:rPr>
          <w:sz w:val="24"/>
          <w:szCs w:val="24"/>
        </w:rPr>
        <w:tab/>
      </w:r>
      <w:r w:rsidRPr="00DC0ACC">
        <w:rPr>
          <w:sz w:val="24"/>
          <w:szCs w:val="24"/>
        </w:rPr>
        <w:tab/>
      </w:r>
      <w:r w:rsidRPr="00DC0ACC">
        <w:rPr>
          <w:sz w:val="24"/>
          <w:szCs w:val="24"/>
        </w:rPr>
        <w:tab/>
      </w:r>
      <w:r w:rsidRPr="00DC0ACC">
        <w:rPr>
          <w:sz w:val="24"/>
          <w:szCs w:val="24"/>
        </w:rPr>
        <w:tab/>
      </w:r>
      <w:r w:rsidRPr="00DC0ACC">
        <w:rPr>
          <w:sz w:val="24"/>
          <w:szCs w:val="24"/>
        </w:rPr>
        <w:tab/>
        <w:t>OFFICE OF THE PUBLIC COUNSEL</w:t>
      </w:r>
      <w:r w:rsidRPr="00DC0ACC">
        <w:rPr>
          <w:sz w:val="24"/>
          <w:szCs w:val="24"/>
        </w:rPr>
        <w:tab/>
      </w:r>
      <w:r w:rsidRPr="00DC0ACC">
        <w:rPr>
          <w:sz w:val="24"/>
          <w:szCs w:val="24"/>
        </w:rPr>
        <w:tab/>
      </w:r>
      <w:r w:rsidRPr="00DC0ACC">
        <w:rPr>
          <w:sz w:val="24"/>
          <w:szCs w:val="24"/>
        </w:rPr>
        <w:tab/>
      </w:r>
      <w:r w:rsidRPr="00DC0ACC">
        <w:rPr>
          <w:sz w:val="24"/>
          <w:szCs w:val="24"/>
        </w:rPr>
        <w:tab/>
      </w:r>
      <w:r w:rsidRPr="00DC0ACC">
        <w:rPr>
          <w:sz w:val="24"/>
          <w:szCs w:val="24"/>
        </w:rPr>
        <w:tab/>
      </w:r>
      <w:r w:rsidRPr="00DC0ACC">
        <w:rPr>
          <w:sz w:val="24"/>
          <w:szCs w:val="24"/>
        </w:rPr>
        <w:tab/>
      </w:r>
      <w:r w:rsidRPr="00DC0ACC">
        <w:rPr>
          <w:sz w:val="24"/>
          <w:szCs w:val="24"/>
        </w:rPr>
        <w:tab/>
      </w:r>
      <w:r w:rsidRPr="00DC0ACC">
        <w:rPr>
          <w:sz w:val="24"/>
          <w:szCs w:val="24"/>
        </w:rPr>
        <w:tab/>
      </w:r>
      <w:r w:rsidRPr="00DC0ACC">
        <w:rPr>
          <w:sz w:val="24"/>
          <w:szCs w:val="24"/>
        </w:rPr>
        <w:tab/>
      </w:r>
      <w:r w:rsidRPr="00DC0ACC">
        <w:rPr>
          <w:sz w:val="24"/>
          <w:szCs w:val="24"/>
        </w:rPr>
        <w:tab/>
      </w:r>
      <w:r w:rsidRPr="00DC0ACC">
        <w:rPr>
          <w:sz w:val="24"/>
          <w:szCs w:val="24"/>
        </w:rPr>
        <w:tab/>
        <w:t xml:space="preserve"> </w:t>
      </w:r>
      <w:r w:rsidRPr="00DC0ACC">
        <w:rPr>
          <w:sz w:val="24"/>
          <w:szCs w:val="24"/>
        </w:rPr>
        <w:tab/>
      </w:r>
    </w:p>
    <w:p w:rsidR="001E7BF0" w:rsidRPr="00DC0ACC" w:rsidRDefault="001E7BF0" w:rsidP="001E7BF0">
      <w:pPr>
        <w:rPr>
          <w:sz w:val="24"/>
          <w:szCs w:val="24"/>
          <w:u w:val="single"/>
        </w:rPr>
      </w:pPr>
      <w:r w:rsidRPr="00DC0ACC">
        <w:rPr>
          <w:sz w:val="24"/>
          <w:szCs w:val="24"/>
        </w:rPr>
        <w:tab/>
      </w:r>
      <w:r w:rsidRPr="00DC0ACC">
        <w:rPr>
          <w:sz w:val="24"/>
          <w:szCs w:val="24"/>
        </w:rPr>
        <w:tab/>
      </w:r>
      <w:r w:rsidRPr="00DC0ACC">
        <w:rPr>
          <w:sz w:val="24"/>
          <w:szCs w:val="24"/>
        </w:rPr>
        <w:tab/>
      </w:r>
      <w:r w:rsidRPr="00DC0ACC">
        <w:rPr>
          <w:sz w:val="24"/>
          <w:szCs w:val="24"/>
        </w:rPr>
        <w:tab/>
      </w:r>
      <w:r w:rsidRPr="00DC0ACC">
        <w:rPr>
          <w:sz w:val="24"/>
          <w:szCs w:val="24"/>
        </w:rPr>
        <w:tab/>
      </w:r>
      <w:r w:rsidRPr="00DC0ACC">
        <w:rPr>
          <w:sz w:val="24"/>
          <w:szCs w:val="24"/>
        </w:rPr>
        <w:tab/>
        <w:t xml:space="preserve">By: </w:t>
      </w:r>
      <w:r w:rsidRPr="00DC0ACC">
        <w:rPr>
          <w:sz w:val="24"/>
          <w:szCs w:val="24"/>
          <w:u w:val="single"/>
        </w:rPr>
        <w:tab/>
      </w:r>
      <w:r w:rsidRPr="00DC0ACC">
        <w:rPr>
          <w:b/>
          <w:sz w:val="24"/>
          <w:szCs w:val="24"/>
          <w:u w:val="single"/>
        </w:rPr>
        <w:t xml:space="preserve">/s/ </w:t>
      </w:r>
      <w:r w:rsidR="00DB2BB3">
        <w:rPr>
          <w:b/>
          <w:sz w:val="24"/>
          <w:szCs w:val="24"/>
          <w:u w:val="single"/>
        </w:rPr>
        <w:t>James M. Owen</w:t>
      </w:r>
      <w:r w:rsidRPr="00DC0ACC">
        <w:rPr>
          <w:b/>
          <w:sz w:val="24"/>
          <w:szCs w:val="24"/>
          <w:u w:val="single"/>
        </w:rPr>
        <w:tab/>
      </w:r>
      <w:r w:rsidRPr="00DC0ACC">
        <w:rPr>
          <w:sz w:val="24"/>
          <w:szCs w:val="24"/>
          <w:u w:val="single"/>
        </w:rPr>
        <w:tab/>
      </w:r>
    </w:p>
    <w:p w:rsidR="001E7BF0" w:rsidRPr="00DC0ACC" w:rsidRDefault="001E7BF0" w:rsidP="001E7BF0">
      <w:pPr>
        <w:rPr>
          <w:sz w:val="24"/>
          <w:szCs w:val="24"/>
        </w:rPr>
      </w:pPr>
      <w:r w:rsidRPr="00DC0ACC">
        <w:rPr>
          <w:sz w:val="24"/>
          <w:szCs w:val="24"/>
        </w:rPr>
        <w:tab/>
      </w:r>
      <w:r w:rsidRPr="00DC0ACC">
        <w:rPr>
          <w:sz w:val="24"/>
          <w:szCs w:val="24"/>
        </w:rPr>
        <w:tab/>
      </w:r>
      <w:r w:rsidRPr="00DC0ACC">
        <w:rPr>
          <w:sz w:val="24"/>
          <w:szCs w:val="24"/>
        </w:rPr>
        <w:tab/>
      </w:r>
      <w:r w:rsidRPr="00DC0ACC">
        <w:rPr>
          <w:sz w:val="24"/>
          <w:szCs w:val="24"/>
        </w:rPr>
        <w:tab/>
      </w:r>
      <w:r w:rsidRPr="00DC0ACC">
        <w:rPr>
          <w:sz w:val="24"/>
          <w:szCs w:val="24"/>
        </w:rPr>
        <w:tab/>
      </w:r>
      <w:r w:rsidRPr="00DC0ACC">
        <w:rPr>
          <w:sz w:val="24"/>
          <w:szCs w:val="24"/>
        </w:rPr>
        <w:tab/>
        <w:t xml:space="preserve">     </w:t>
      </w:r>
      <w:r w:rsidR="007E215A">
        <w:rPr>
          <w:sz w:val="24"/>
          <w:szCs w:val="24"/>
        </w:rPr>
        <w:t xml:space="preserve">  </w:t>
      </w:r>
      <w:r w:rsidR="00DB2BB3">
        <w:rPr>
          <w:sz w:val="24"/>
          <w:szCs w:val="24"/>
        </w:rPr>
        <w:t>James M. Owen</w:t>
      </w:r>
      <w:r w:rsidRPr="00DC0ACC">
        <w:rPr>
          <w:sz w:val="24"/>
          <w:szCs w:val="24"/>
        </w:rPr>
        <w:t xml:space="preserve">    (#</w:t>
      </w:r>
      <w:r w:rsidR="00DB2BB3">
        <w:rPr>
          <w:sz w:val="24"/>
          <w:szCs w:val="24"/>
        </w:rPr>
        <w:t>56835</w:t>
      </w:r>
      <w:r w:rsidRPr="00DC0ACC">
        <w:rPr>
          <w:sz w:val="24"/>
          <w:szCs w:val="24"/>
        </w:rPr>
        <w:t>)</w:t>
      </w:r>
    </w:p>
    <w:p w:rsidR="001E7BF0" w:rsidRPr="00DC0ACC" w:rsidRDefault="001E7BF0" w:rsidP="001E7BF0">
      <w:pPr>
        <w:rPr>
          <w:sz w:val="24"/>
          <w:szCs w:val="24"/>
        </w:rPr>
      </w:pPr>
      <w:r w:rsidRPr="00DC0ACC">
        <w:rPr>
          <w:sz w:val="24"/>
          <w:szCs w:val="24"/>
        </w:rPr>
        <w:tab/>
      </w:r>
      <w:r w:rsidRPr="00DC0ACC">
        <w:rPr>
          <w:sz w:val="24"/>
          <w:szCs w:val="24"/>
        </w:rPr>
        <w:tab/>
      </w:r>
      <w:r w:rsidRPr="00DC0ACC">
        <w:rPr>
          <w:sz w:val="24"/>
          <w:szCs w:val="24"/>
        </w:rPr>
        <w:tab/>
      </w:r>
      <w:r w:rsidRPr="00DC0ACC">
        <w:rPr>
          <w:sz w:val="24"/>
          <w:szCs w:val="24"/>
        </w:rPr>
        <w:tab/>
      </w:r>
      <w:r w:rsidRPr="00DC0ACC">
        <w:rPr>
          <w:sz w:val="24"/>
          <w:szCs w:val="24"/>
        </w:rPr>
        <w:tab/>
      </w:r>
      <w:r w:rsidRPr="00DC0ACC">
        <w:rPr>
          <w:sz w:val="24"/>
          <w:szCs w:val="24"/>
        </w:rPr>
        <w:tab/>
        <w:t xml:space="preserve">     </w:t>
      </w:r>
      <w:r w:rsidR="007E215A">
        <w:rPr>
          <w:sz w:val="24"/>
          <w:szCs w:val="24"/>
        </w:rPr>
        <w:t xml:space="preserve">  </w:t>
      </w:r>
      <w:r w:rsidR="00DB2BB3">
        <w:rPr>
          <w:sz w:val="24"/>
          <w:szCs w:val="24"/>
        </w:rPr>
        <w:t>Acting</w:t>
      </w:r>
      <w:r w:rsidRPr="00DC0ACC">
        <w:rPr>
          <w:sz w:val="24"/>
          <w:szCs w:val="24"/>
        </w:rPr>
        <w:t xml:space="preserve"> Public Counsel</w:t>
      </w:r>
    </w:p>
    <w:p w:rsidR="001E7BF0" w:rsidRPr="00DC0ACC" w:rsidRDefault="001E7BF0" w:rsidP="001E7BF0">
      <w:pPr>
        <w:rPr>
          <w:sz w:val="24"/>
          <w:szCs w:val="24"/>
        </w:rPr>
      </w:pPr>
      <w:r w:rsidRPr="00DC0ACC">
        <w:rPr>
          <w:sz w:val="24"/>
          <w:szCs w:val="24"/>
        </w:rPr>
        <w:tab/>
      </w:r>
      <w:r w:rsidRPr="00DC0ACC">
        <w:rPr>
          <w:sz w:val="24"/>
          <w:szCs w:val="24"/>
        </w:rPr>
        <w:tab/>
      </w:r>
      <w:r w:rsidRPr="00DC0ACC">
        <w:rPr>
          <w:sz w:val="24"/>
          <w:szCs w:val="24"/>
        </w:rPr>
        <w:tab/>
      </w:r>
      <w:r w:rsidRPr="00DC0ACC">
        <w:rPr>
          <w:sz w:val="24"/>
          <w:szCs w:val="24"/>
        </w:rPr>
        <w:tab/>
      </w:r>
      <w:r w:rsidRPr="00DC0ACC">
        <w:rPr>
          <w:sz w:val="24"/>
          <w:szCs w:val="24"/>
        </w:rPr>
        <w:tab/>
      </w:r>
      <w:r w:rsidRPr="00DC0ACC">
        <w:rPr>
          <w:sz w:val="24"/>
          <w:szCs w:val="24"/>
        </w:rPr>
        <w:tab/>
        <w:t xml:space="preserve">     </w:t>
      </w:r>
      <w:r w:rsidR="007E215A">
        <w:rPr>
          <w:sz w:val="24"/>
          <w:szCs w:val="24"/>
        </w:rPr>
        <w:t xml:space="preserve">  </w:t>
      </w:r>
      <w:r w:rsidRPr="00DC0ACC">
        <w:rPr>
          <w:sz w:val="24"/>
          <w:szCs w:val="24"/>
        </w:rPr>
        <w:t>PO Box 2230</w:t>
      </w:r>
    </w:p>
    <w:p w:rsidR="001E7BF0" w:rsidRPr="00DC0ACC" w:rsidRDefault="001E7BF0" w:rsidP="001E7BF0">
      <w:pPr>
        <w:rPr>
          <w:sz w:val="24"/>
          <w:szCs w:val="24"/>
        </w:rPr>
      </w:pPr>
      <w:r w:rsidRPr="00DC0ACC">
        <w:rPr>
          <w:sz w:val="24"/>
          <w:szCs w:val="24"/>
        </w:rPr>
        <w:tab/>
      </w:r>
      <w:r w:rsidRPr="00DC0ACC">
        <w:rPr>
          <w:sz w:val="24"/>
          <w:szCs w:val="24"/>
        </w:rPr>
        <w:tab/>
      </w:r>
      <w:r w:rsidRPr="00DC0ACC">
        <w:rPr>
          <w:sz w:val="24"/>
          <w:szCs w:val="24"/>
        </w:rPr>
        <w:tab/>
      </w:r>
      <w:r w:rsidRPr="00DC0ACC">
        <w:rPr>
          <w:sz w:val="24"/>
          <w:szCs w:val="24"/>
        </w:rPr>
        <w:tab/>
      </w:r>
      <w:r w:rsidRPr="00DC0ACC">
        <w:rPr>
          <w:sz w:val="24"/>
          <w:szCs w:val="24"/>
        </w:rPr>
        <w:tab/>
      </w:r>
      <w:r w:rsidRPr="00DC0ACC">
        <w:rPr>
          <w:sz w:val="24"/>
          <w:szCs w:val="24"/>
        </w:rPr>
        <w:tab/>
        <w:t xml:space="preserve">     </w:t>
      </w:r>
      <w:r w:rsidR="007E215A">
        <w:rPr>
          <w:sz w:val="24"/>
          <w:szCs w:val="24"/>
        </w:rPr>
        <w:t xml:space="preserve">  </w:t>
      </w:r>
      <w:r w:rsidRPr="00DC0ACC">
        <w:rPr>
          <w:sz w:val="24"/>
          <w:szCs w:val="24"/>
        </w:rPr>
        <w:t>Jefferson City MO  65102</w:t>
      </w:r>
    </w:p>
    <w:p w:rsidR="001E7BF0" w:rsidRPr="00DC0ACC" w:rsidRDefault="00DB2BB3" w:rsidP="001E7BF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7E215A">
        <w:rPr>
          <w:sz w:val="24"/>
          <w:szCs w:val="24"/>
        </w:rPr>
        <w:t xml:space="preserve">  </w:t>
      </w:r>
      <w:r>
        <w:rPr>
          <w:sz w:val="24"/>
          <w:szCs w:val="24"/>
        </w:rPr>
        <w:t>(573) 751-5318</w:t>
      </w:r>
    </w:p>
    <w:p w:rsidR="001E7BF0" w:rsidRPr="00DC0ACC" w:rsidRDefault="001E7BF0" w:rsidP="001E7BF0">
      <w:pPr>
        <w:rPr>
          <w:sz w:val="24"/>
          <w:szCs w:val="24"/>
        </w:rPr>
      </w:pPr>
      <w:r w:rsidRPr="00DC0ACC">
        <w:rPr>
          <w:sz w:val="24"/>
          <w:szCs w:val="24"/>
        </w:rPr>
        <w:tab/>
      </w:r>
      <w:r w:rsidRPr="00DC0ACC">
        <w:rPr>
          <w:sz w:val="24"/>
          <w:szCs w:val="24"/>
        </w:rPr>
        <w:tab/>
      </w:r>
      <w:r w:rsidRPr="00DC0ACC">
        <w:rPr>
          <w:sz w:val="24"/>
          <w:szCs w:val="24"/>
        </w:rPr>
        <w:tab/>
      </w:r>
      <w:r w:rsidRPr="00DC0ACC">
        <w:rPr>
          <w:sz w:val="24"/>
          <w:szCs w:val="24"/>
        </w:rPr>
        <w:tab/>
      </w:r>
      <w:r w:rsidRPr="00DC0ACC">
        <w:rPr>
          <w:sz w:val="24"/>
          <w:szCs w:val="24"/>
        </w:rPr>
        <w:tab/>
      </w:r>
      <w:r w:rsidRPr="00DC0ACC">
        <w:rPr>
          <w:sz w:val="24"/>
          <w:szCs w:val="24"/>
        </w:rPr>
        <w:tab/>
        <w:t xml:space="preserve">     </w:t>
      </w:r>
      <w:r w:rsidR="007E215A">
        <w:rPr>
          <w:sz w:val="24"/>
          <w:szCs w:val="24"/>
        </w:rPr>
        <w:t xml:space="preserve">  </w:t>
      </w:r>
      <w:r w:rsidRPr="00DC0ACC">
        <w:rPr>
          <w:sz w:val="24"/>
          <w:szCs w:val="24"/>
        </w:rPr>
        <w:t>(573) 751-5562 FAX</w:t>
      </w:r>
    </w:p>
    <w:p w:rsidR="001E7BF0" w:rsidRDefault="001E7BF0" w:rsidP="001E7BF0">
      <w:pPr>
        <w:rPr>
          <w:sz w:val="24"/>
          <w:szCs w:val="24"/>
        </w:rPr>
      </w:pPr>
      <w:r w:rsidRPr="00DC0ACC">
        <w:rPr>
          <w:sz w:val="24"/>
          <w:szCs w:val="24"/>
        </w:rPr>
        <w:tab/>
      </w:r>
      <w:r w:rsidRPr="00DC0ACC">
        <w:rPr>
          <w:sz w:val="24"/>
          <w:szCs w:val="24"/>
        </w:rPr>
        <w:tab/>
      </w:r>
      <w:r w:rsidRPr="00DC0ACC">
        <w:rPr>
          <w:sz w:val="24"/>
          <w:szCs w:val="24"/>
        </w:rPr>
        <w:tab/>
      </w:r>
      <w:r w:rsidRPr="00DC0ACC">
        <w:rPr>
          <w:sz w:val="24"/>
          <w:szCs w:val="24"/>
        </w:rPr>
        <w:tab/>
      </w:r>
      <w:r w:rsidRPr="00DC0ACC">
        <w:rPr>
          <w:sz w:val="24"/>
          <w:szCs w:val="24"/>
        </w:rPr>
        <w:tab/>
      </w:r>
      <w:r w:rsidRPr="00DC0ACC">
        <w:rPr>
          <w:sz w:val="24"/>
          <w:szCs w:val="24"/>
        </w:rPr>
        <w:tab/>
        <w:t xml:space="preserve">     </w:t>
      </w:r>
      <w:r w:rsidR="007E215A">
        <w:rPr>
          <w:sz w:val="24"/>
          <w:szCs w:val="24"/>
        </w:rPr>
        <w:t xml:space="preserve">  </w:t>
      </w:r>
      <w:hyperlink r:id="rId8" w:history="1">
        <w:r w:rsidR="00DB2BB3" w:rsidRPr="00236B6E">
          <w:rPr>
            <w:rStyle w:val="Hyperlink"/>
            <w:sz w:val="24"/>
            <w:szCs w:val="24"/>
          </w:rPr>
          <w:t>james.owen@ded.mo.gov</w:t>
        </w:r>
      </w:hyperlink>
    </w:p>
    <w:p w:rsidR="00264253" w:rsidRDefault="00264253">
      <w:pPr>
        <w:rPr>
          <w:b/>
          <w:smallCaps/>
          <w:sz w:val="24"/>
          <w:szCs w:val="24"/>
          <w:u w:val="single"/>
        </w:rPr>
      </w:pPr>
      <w:r>
        <w:rPr>
          <w:b/>
          <w:smallCaps/>
          <w:szCs w:val="24"/>
          <w:u w:val="single"/>
        </w:rPr>
        <w:br w:type="page"/>
      </w:r>
    </w:p>
    <w:p w:rsidR="001E7BF0" w:rsidRPr="00DC0ACC" w:rsidRDefault="007E215A" w:rsidP="001E7BF0">
      <w:pPr>
        <w:pStyle w:val="BodyText"/>
        <w:jc w:val="center"/>
        <w:rPr>
          <w:b/>
          <w:smallCaps/>
          <w:szCs w:val="24"/>
          <w:u w:val="single"/>
        </w:rPr>
      </w:pPr>
      <w:r>
        <w:rPr>
          <w:b/>
          <w:smallCaps/>
          <w:szCs w:val="24"/>
          <w:u w:val="single"/>
        </w:rPr>
        <w:lastRenderedPageBreak/>
        <w:t>C</w:t>
      </w:r>
      <w:r w:rsidR="001E7BF0" w:rsidRPr="00DC0ACC">
        <w:rPr>
          <w:b/>
          <w:smallCaps/>
          <w:szCs w:val="24"/>
          <w:u w:val="single"/>
        </w:rPr>
        <w:t xml:space="preserve">ertificate of </w:t>
      </w:r>
      <w:r>
        <w:rPr>
          <w:b/>
          <w:smallCaps/>
          <w:szCs w:val="24"/>
          <w:u w:val="single"/>
        </w:rPr>
        <w:t>S</w:t>
      </w:r>
      <w:r w:rsidR="001E7BF0" w:rsidRPr="00DC0ACC">
        <w:rPr>
          <w:b/>
          <w:smallCaps/>
          <w:szCs w:val="24"/>
          <w:u w:val="single"/>
        </w:rPr>
        <w:t>ervice</w:t>
      </w:r>
    </w:p>
    <w:p w:rsidR="001E7BF0" w:rsidRPr="00DC0ACC" w:rsidRDefault="001E7BF0" w:rsidP="001E7BF0">
      <w:pPr>
        <w:pStyle w:val="BodyText"/>
        <w:rPr>
          <w:szCs w:val="24"/>
        </w:rPr>
      </w:pPr>
    </w:p>
    <w:p w:rsidR="001E7BF0" w:rsidRDefault="001E7BF0" w:rsidP="001E7BF0">
      <w:pPr>
        <w:pStyle w:val="BodyText"/>
        <w:rPr>
          <w:szCs w:val="24"/>
        </w:rPr>
      </w:pPr>
      <w:r w:rsidRPr="00DC0ACC">
        <w:rPr>
          <w:szCs w:val="24"/>
        </w:rPr>
        <w:t>I hereby certify that copies of the foregoing have been mailed, emailed or</w:t>
      </w:r>
      <w:r w:rsidR="00EA6050">
        <w:rPr>
          <w:szCs w:val="24"/>
        </w:rPr>
        <w:t xml:space="preserve"> hand-delivered to the parties of record on</w:t>
      </w:r>
      <w:r w:rsidRPr="00DC0ACC">
        <w:rPr>
          <w:szCs w:val="24"/>
        </w:rPr>
        <w:t xml:space="preserve"> this </w:t>
      </w:r>
      <w:r w:rsidR="00BB5479">
        <w:rPr>
          <w:szCs w:val="24"/>
        </w:rPr>
        <w:t>27</w:t>
      </w:r>
      <w:r w:rsidR="00E84BB2" w:rsidRPr="00E84BB2">
        <w:rPr>
          <w:szCs w:val="24"/>
          <w:vertAlign w:val="superscript"/>
        </w:rPr>
        <w:t>th</w:t>
      </w:r>
      <w:r w:rsidR="00BB5479">
        <w:rPr>
          <w:szCs w:val="24"/>
        </w:rPr>
        <w:t xml:space="preserve"> day of Dec</w:t>
      </w:r>
      <w:r w:rsidR="00057BDA">
        <w:rPr>
          <w:szCs w:val="24"/>
        </w:rPr>
        <w:t>ember</w:t>
      </w:r>
      <w:r w:rsidR="00DB2BB3">
        <w:rPr>
          <w:szCs w:val="24"/>
        </w:rPr>
        <w:t xml:space="preserve"> </w:t>
      </w:r>
      <w:r w:rsidR="00A648B8">
        <w:rPr>
          <w:szCs w:val="24"/>
        </w:rPr>
        <w:t>2016</w:t>
      </w:r>
      <w:r w:rsidR="00933F9D">
        <w:rPr>
          <w:szCs w:val="24"/>
        </w:rPr>
        <w:t>.</w:t>
      </w:r>
    </w:p>
    <w:p w:rsidR="00E53D11" w:rsidRDefault="00E53D11" w:rsidP="001E7BF0">
      <w:pPr>
        <w:pStyle w:val="BodyText"/>
        <w:rPr>
          <w:szCs w:val="24"/>
        </w:rPr>
      </w:pPr>
    </w:p>
    <w:p w:rsidR="00DC0ACC" w:rsidRDefault="00DC0ACC" w:rsidP="001E7BF0">
      <w:pPr>
        <w:pStyle w:val="BodyText"/>
        <w:rPr>
          <w:szCs w:val="24"/>
        </w:rPr>
      </w:pPr>
    </w:p>
    <w:p w:rsidR="001E7BF0" w:rsidRPr="00DC0ACC" w:rsidRDefault="001E7BF0" w:rsidP="001E7BF0">
      <w:pPr>
        <w:pStyle w:val="BodyText"/>
        <w:rPr>
          <w:b/>
          <w:bCs/>
          <w:szCs w:val="24"/>
        </w:rPr>
      </w:pPr>
      <w:r w:rsidRPr="00DC0ACC">
        <w:rPr>
          <w:szCs w:val="24"/>
        </w:rPr>
        <w:tab/>
      </w:r>
      <w:r w:rsidRPr="00DC0ACC">
        <w:rPr>
          <w:szCs w:val="24"/>
        </w:rPr>
        <w:tab/>
      </w:r>
      <w:r w:rsidRPr="00DC0ACC">
        <w:rPr>
          <w:szCs w:val="24"/>
        </w:rPr>
        <w:tab/>
      </w:r>
      <w:r w:rsidRPr="00DC0ACC">
        <w:rPr>
          <w:szCs w:val="24"/>
        </w:rPr>
        <w:tab/>
      </w:r>
    </w:p>
    <w:p w:rsidR="001E7BF0" w:rsidRPr="007E215A" w:rsidRDefault="001E7BF0" w:rsidP="001E7BF0">
      <w:pPr>
        <w:pStyle w:val="BodyText"/>
        <w:rPr>
          <w:b/>
          <w:szCs w:val="24"/>
          <w:u w:val="single"/>
        </w:rPr>
      </w:pPr>
      <w:r w:rsidRPr="00DC0ACC">
        <w:rPr>
          <w:szCs w:val="24"/>
        </w:rPr>
        <w:tab/>
      </w:r>
      <w:r w:rsidRPr="00DC0ACC">
        <w:rPr>
          <w:szCs w:val="24"/>
        </w:rPr>
        <w:tab/>
      </w:r>
      <w:r w:rsidRPr="00DC0ACC">
        <w:rPr>
          <w:szCs w:val="24"/>
        </w:rPr>
        <w:tab/>
      </w:r>
      <w:r w:rsidRPr="00DC0ACC">
        <w:rPr>
          <w:szCs w:val="24"/>
        </w:rPr>
        <w:tab/>
      </w:r>
      <w:r w:rsidRPr="00DC0ACC">
        <w:rPr>
          <w:szCs w:val="24"/>
        </w:rPr>
        <w:tab/>
      </w:r>
      <w:r w:rsidRPr="00DC0ACC">
        <w:rPr>
          <w:szCs w:val="24"/>
        </w:rPr>
        <w:tab/>
      </w:r>
      <w:r w:rsidRPr="00DC0ACC">
        <w:rPr>
          <w:szCs w:val="24"/>
        </w:rPr>
        <w:tab/>
      </w:r>
      <w:r w:rsidRPr="007E215A">
        <w:rPr>
          <w:b/>
          <w:szCs w:val="24"/>
          <w:u w:val="single"/>
        </w:rPr>
        <w:t xml:space="preserve">/s/ </w:t>
      </w:r>
      <w:r w:rsidR="00DB2BB3" w:rsidRPr="007E215A">
        <w:rPr>
          <w:b/>
          <w:szCs w:val="24"/>
          <w:u w:val="single"/>
        </w:rPr>
        <w:t>James M. Owen</w:t>
      </w:r>
    </w:p>
    <w:p w:rsidR="005560C6" w:rsidRPr="00DC0ACC" w:rsidRDefault="005560C6" w:rsidP="00D85369">
      <w:pPr>
        <w:pStyle w:val="BodyText"/>
        <w:rPr>
          <w:szCs w:val="24"/>
        </w:rPr>
      </w:pPr>
    </w:p>
    <w:sectPr w:rsidR="005560C6" w:rsidRPr="00DC0ACC" w:rsidSect="00D6356A">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2A8C" w:rsidRDefault="00D42A8C">
      <w:r>
        <w:separator/>
      </w:r>
    </w:p>
  </w:endnote>
  <w:endnote w:type="continuationSeparator" w:id="0">
    <w:p w:rsidR="00D42A8C" w:rsidRDefault="00D42A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479" w:rsidRDefault="00B767DA">
    <w:pPr>
      <w:pStyle w:val="Footer"/>
      <w:framePr w:wrap="around" w:vAnchor="text" w:hAnchor="margin" w:xAlign="center" w:y="1"/>
      <w:rPr>
        <w:rStyle w:val="PageNumber"/>
      </w:rPr>
    </w:pPr>
    <w:r>
      <w:rPr>
        <w:rStyle w:val="PageNumber"/>
      </w:rPr>
      <w:fldChar w:fldCharType="begin"/>
    </w:r>
    <w:r w:rsidR="00BB5479">
      <w:rPr>
        <w:rStyle w:val="PageNumber"/>
      </w:rPr>
      <w:instrText xml:space="preserve">PAGE  </w:instrText>
    </w:r>
    <w:r>
      <w:rPr>
        <w:rStyle w:val="PageNumber"/>
      </w:rPr>
      <w:fldChar w:fldCharType="separate"/>
    </w:r>
    <w:r w:rsidR="00BB5479">
      <w:rPr>
        <w:rStyle w:val="PageNumber"/>
        <w:noProof/>
      </w:rPr>
      <w:t>1</w:t>
    </w:r>
    <w:r>
      <w:rPr>
        <w:rStyle w:val="PageNumber"/>
      </w:rPr>
      <w:fldChar w:fldCharType="end"/>
    </w:r>
  </w:p>
  <w:p w:rsidR="00BB5479" w:rsidRDefault="00BB54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479" w:rsidRDefault="00B767DA">
    <w:pPr>
      <w:pStyle w:val="Footer"/>
      <w:framePr w:wrap="around" w:vAnchor="text" w:hAnchor="margin" w:xAlign="center" w:y="1"/>
      <w:rPr>
        <w:rStyle w:val="PageNumber"/>
      </w:rPr>
    </w:pPr>
    <w:r>
      <w:rPr>
        <w:rStyle w:val="PageNumber"/>
      </w:rPr>
      <w:fldChar w:fldCharType="begin"/>
    </w:r>
    <w:r w:rsidR="00BB5479">
      <w:rPr>
        <w:rStyle w:val="PageNumber"/>
      </w:rPr>
      <w:instrText xml:space="preserve">PAGE  </w:instrText>
    </w:r>
    <w:r>
      <w:rPr>
        <w:rStyle w:val="PageNumber"/>
      </w:rPr>
      <w:fldChar w:fldCharType="separate"/>
    </w:r>
    <w:r w:rsidR="005C31A6">
      <w:rPr>
        <w:rStyle w:val="PageNumber"/>
        <w:noProof/>
      </w:rPr>
      <w:t>1</w:t>
    </w:r>
    <w:r>
      <w:rPr>
        <w:rStyle w:val="PageNumber"/>
      </w:rPr>
      <w:fldChar w:fldCharType="end"/>
    </w:r>
  </w:p>
  <w:p w:rsidR="00BB5479" w:rsidRDefault="00BB54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2A8C" w:rsidRDefault="00D42A8C">
      <w:r>
        <w:separator/>
      </w:r>
    </w:p>
  </w:footnote>
  <w:footnote w:type="continuationSeparator" w:id="0">
    <w:p w:rsidR="00D42A8C" w:rsidRDefault="00D42A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E1F57"/>
    <w:multiLevelType w:val="singleLevel"/>
    <w:tmpl w:val="EEBC3130"/>
    <w:lvl w:ilvl="0">
      <w:start w:val="1"/>
      <w:numFmt w:val="lowerLetter"/>
      <w:lvlText w:val="(%1)"/>
      <w:lvlJc w:val="left"/>
      <w:pPr>
        <w:tabs>
          <w:tab w:val="num" w:pos="2160"/>
        </w:tabs>
        <w:ind w:left="2160" w:hanging="720"/>
      </w:pPr>
      <w:rPr>
        <w:rFonts w:hint="default"/>
      </w:rPr>
    </w:lvl>
  </w:abstractNum>
  <w:abstractNum w:abstractNumId="1">
    <w:nsid w:val="077E130C"/>
    <w:multiLevelType w:val="singleLevel"/>
    <w:tmpl w:val="BB2048AE"/>
    <w:lvl w:ilvl="0">
      <w:start w:val="19"/>
      <w:numFmt w:val="decimal"/>
      <w:lvlText w:val="%1."/>
      <w:lvlJc w:val="left"/>
      <w:pPr>
        <w:tabs>
          <w:tab w:val="num" w:pos="1440"/>
        </w:tabs>
        <w:ind w:left="1440" w:hanging="720"/>
      </w:pPr>
      <w:rPr>
        <w:rFonts w:hint="default"/>
      </w:rPr>
    </w:lvl>
  </w:abstractNum>
  <w:abstractNum w:abstractNumId="2">
    <w:nsid w:val="0E3C42ED"/>
    <w:multiLevelType w:val="hybridMultilevel"/>
    <w:tmpl w:val="00504DDE"/>
    <w:lvl w:ilvl="0" w:tplc="372260D4">
      <w:start w:val="1"/>
      <w:numFmt w:val="decimal"/>
      <w:lvlText w:val="%1."/>
      <w:lvlJc w:val="left"/>
      <w:pPr>
        <w:tabs>
          <w:tab w:val="num" w:pos="1500"/>
        </w:tabs>
        <w:ind w:left="1500" w:hanging="7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4AB08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8B870E0"/>
    <w:multiLevelType w:val="singleLevel"/>
    <w:tmpl w:val="11727FF6"/>
    <w:lvl w:ilvl="0">
      <w:start w:val="1"/>
      <w:numFmt w:val="upperLetter"/>
      <w:lvlText w:val="%1."/>
      <w:lvlJc w:val="left"/>
      <w:pPr>
        <w:tabs>
          <w:tab w:val="num" w:pos="2160"/>
        </w:tabs>
        <w:ind w:left="2160" w:hanging="720"/>
      </w:pPr>
      <w:rPr>
        <w:rFonts w:hint="default"/>
      </w:rPr>
    </w:lvl>
  </w:abstractNum>
  <w:abstractNum w:abstractNumId="5">
    <w:nsid w:val="1FC16CB7"/>
    <w:multiLevelType w:val="hybridMultilevel"/>
    <w:tmpl w:val="D4F8C86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nsid w:val="2FB27A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663316F"/>
    <w:multiLevelType w:val="hybridMultilevel"/>
    <w:tmpl w:val="3DE86B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FC52B30"/>
    <w:multiLevelType w:val="hybridMultilevel"/>
    <w:tmpl w:val="FA7E57E0"/>
    <w:lvl w:ilvl="0" w:tplc="B3C87A72">
      <w:start w:val="1"/>
      <w:numFmt w:val="decimal"/>
      <w:lvlText w:val="%1."/>
      <w:lvlJc w:val="left"/>
      <w:pPr>
        <w:tabs>
          <w:tab w:val="num" w:pos="885"/>
        </w:tabs>
        <w:ind w:left="885" w:hanging="360"/>
      </w:pPr>
      <w:rPr>
        <w:rFonts w:hint="default"/>
        <w:b/>
      </w:rPr>
    </w:lvl>
    <w:lvl w:ilvl="1" w:tplc="04090019" w:tentative="1">
      <w:start w:val="1"/>
      <w:numFmt w:val="lowerLetter"/>
      <w:lvlText w:val="%2."/>
      <w:lvlJc w:val="left"/>
      <w:pPr>
        <w:tabs>
          <w:tab w:val="num" w:pos="1605"/>
        </w:tabs>
        <w:ind w:left="1605" w:hanging="360"/>
      </w:pPr>
    </w:lvl>
    <w:lvl w:ilvl="2" w:tplc="0409001B" w:tentative="1">
      <w:start w:val="1"/>
      <w:numFmt w:val="lowerRoman"/>
      <w:lvlText w:val="%3."/>
      <w:lvlJc w:val="right"/>
      <w:pPr>
        <w:tabs>
          <w:tab w:val="num" w:pos="2325"/>
        </w:tabs>
        <w:ind w:left="2325" w:hanging="180"/>
      </w:pPr>
    </w:lvl>
    <w:lvl w:ilvl="3" w:tplc="0409000F" w:tentative="1">
      <w:start w:val="1"/>
      <w:numFmt w:val="decimal"/>
      <w:lvlText w:val="%4."/>
      <w:lvlJc w:val="left"/>
      <w:pPr>
        <w:tabs>
          <w:tab w:val="num" w:pos="3045"/>
        </w:tabs>
        <w:ind w:left="3045" w:hanging="360"/>
      </w:pPr>
    </w:lvl>
    <w:lvl w:ilvl="4" w:tplc="04090019" w:tentative="1">
      <w:start w:val="1"/>
      <w:numFmt w:val="lowerLetter"/>
      <w:lvlText w:val="%5."/>
      <w:lvlJc w:val="left"/>
      <w:pPr>
        <w:tabs>
          <w:tab w:val="num" w:pos="3765"/>
        </w:tabs>
        <w:ind w:left="3765" w:hanging="360"/>
      </w:pPr>
    </w:lvl>
    <w:lvl w:ilvl="5" w:tplc="0409001B" w:tentative="1">
      <w:start w:val="1"/>
      <w:numFmt w:val="lowerRoman"/>
      <w:lvlText w:val="%6."/>
      <w:lvlJc w:val="right"/>
      <w:pPr>
        <w:tabs>
          <w:tab w:val="num" w:pos="4485"/>
        </w:tabs>
        <w:ind w:left="4485" w:hanging="180"/>
      </w:pPr>
    </w:lvl>
    <w:lvl w:ilvl="6" w:tplc="0409000F" w:tentative="1">
      <w:start w:val="1"/>
      <w:numFmt w:val="decimal"/>
      <w:lvlText w:val="%7."/>
      <w:lvlJc w:val="left"/>
      <w:pPr>
        <w:tabs>
          <w:tab w:val="num" w:pos="5205"/>
        </w:tabs>
        <w:ind w:left="5205" w:hanging="360"/>
      </w:pPr>
    </w:lvl>
    <w:lvl w:ilvl="7" w:tplc="04090019" w:tentative="1">
      <w:start w:val="1"/>
      <w:numFmt w:val="lowerLetter"/>
      <w:lvlText w:val="%8."/>
      <w:lvlJc w:val="left"/>
      <w:pPr>
        <w:tabs>
          <w:tab w:val="num" w:pos="5925"/>
        </w:tabs>
        <w:ind w:left="5925" w:hanging="360"/>
      </w:pPr>
    </w:lvl>
    <w:lvl w:ilvl="8" w:tplc="0409001B" w:tentative="1">
      <w:start w:val="1"/>
      <w:numFmt w:val="lowerRoman"/>
      <w:lvlText w:val="%9."/>
      <w:lvlJc w:val="right"/>
      <w:pPr>
        <w:tabs>
          <w:tab w:val="num" w:pos="6645"/>
        </w:tabs>
        <w:ind w:left="6645" w:hanging="180"/>
      </w:pPr>
    </w:lvl>
  </w:abstractNum>
  <w:abstractNum w:abstractNumId="9">
    <w:nsid w:val="482F0347"/>
    <w:multiLevelType w:val="singleLevel"/>
    <w:tmpl w:val="B88A224C"/>
    <w:lvl w:ilvl="0">
      <w:start w:val="1"/>
      <w:numFmt w:val="upperLetter"/>
      <w:lvlText w:val="%1."/>
      <w:lvlJc w:val="left"/>
      <w:pPr>
        <w:tabs>
          <w:tab w:val="num" w:pos="2160"/>
        </w:tabs>
        <w:ind w:left="2160" w:hanging="720"/>
      </w:pPr>
      <w:rPr>
        <w:rFonts w:hint="default"/>
      </w:rPr>
    </w:lvl>
  </w:abstractNum>
  <w:abstractNum w:abstractNumId="10">
    <w:nsid w:val="51131EB8"/>
    <w:multiLevelType w:val="singleLevel"/>
    <w:tmpl w:val="5C5A7484"/>
    <w:lvl w:ilvl="0">
      <w:start w:val="1"/>
      <w:numFmt w:val="decimal"/>
      <w:lvlText w:val="%1."/>
      <w:lvlJc w:val="left"/>
      <w:pPr>
        <w:tabs>
          <w:tab w:val="num" w:pos="1530"/>
        </w:tabs>
        <w:ind w:left="1530" w:hanging="720"/>
      </w:pPr>
      <w:rPr>
        <w:rFonts w:hint="default"/>
      </w:rPr>
    </w:lvl>
  </w:abstractNum>
  <w:abstractNum w:abstractNumId="11">
    <w:nsid w:val="677A7DF9"/>
    <w:multiLevelType w:val="hybridMultilevel"/>
    <w:tmpl w:val="58CC13C8"/>
    <w:lvl w:ilvl="0" w:tplc="4F9C94A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68097D23"/>
    <w:multiLevelType w:val="hybridMultilevel"/>
    <w:tmpl w:val="4E965AAE"/>
    <w:lvl w:ilvl="0" w:tplc="931C41E4">
      <w:start w:val="1"/>
      <w:numFmt w:val="upp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3">
    <w:nsid w:val="6C1D6225"/>
    <w:multiLevelType w:val="hybridMultilevel"/>
    <w:tmpl w:val="28B894F4"/>
    <w:lvl w:ilvl="0" w:tplc="838E78FE">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706944F7"/>
    <w:multiLevelType w:val="hybridMultilevel"/>
    <w:tmpl w:val="FA66AB5A"/>
    <w:lvl w:ilvl="0" w:tplc="37922D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9"/>
  </w:num>
  <w:num w:numId="3">
    <w:abstractNumId w:val="4"/>
  </w:num>
  <w:num w:numId="4">
    <w:abstractNumId w:val="6"/>
  </w:num>
  <w:num w:numId="5">
    <w:abstractNumId w:val="3"/>
  </w:num>
  <w:num w:numId="6">
    <w:abstractNumId w:val="1"/>
  </w:num>
  <w:num w:numId="7">
    <w:abstractNumId w:val="0"/>
  </w:num>
  <w:num w:numId="8">
    <w:abstractNumId w:val="8"/>
  </w:num>
  <w:num w:numId="9">
    <w:abstractNumId w:val="12"/>
  </w:num>
  <w:num w:numId="10">
    <w:abstractNumId w:val="13"/>
  </w:num>
  <w:num w:numId="11">
    <w:abstractNumId w:val="2"/>
  </w:num>
  <w:num w:numId="12">
    <w:abstractNumId w:val="11"/>
  </w:num>
  <w:num w:numId="13">
    <w:abstractNumId w:val="7"/>
  </w:num>
  <w:num w:numId="14">
    <w:abstractNumId w:val="14"/>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7365F9"/>
    <w:rsid w:val="00001FCE"/>
    <w:rsid w:val="00006543"/>
    <w:rsid w:val="00015307"/>
    <w:rsid w:val="000224DA"/>
    <w:rsid w:val="00024E73"/>
    <w:rsid w:val="000343FD"/>
    <w:rsid w:val="00037B9A"/>
    <w:rsid w:val="00043C6F"/>
    <w:rsid w:val="0005133C"/>
    <w:rsid w:val="00054840"/>
    <w:rsid w:val="00057BDA"/>
    <w:rsid w:val="00064512"/>
    <w:rsid w:val="000649FE"/>
    <w:rsid w:val="0007084E"/>
    <w:rsid w:val="00075648"/>
    <w:rsid w:val="00076A64"/>
    <w:rsid w:val="000B468E"/>
    <w:rsid w:val="000C1D78"/>
    <w:rsid w:val="000C2925"/>
    <w:rsid w:val="000C293B"/>
    <w:rsid w:val="000E5114"/>
    <w:rsid w:val="000F2150"/>
    <w:rsid w:val="000F3A64"/>
    <w:rsid w:val="000F62EA"/>
    <w:rsid w:val="0010101B"/>
    <w:rsid w:val="00103A1E"/>
    <w:rsid w:val="0010416D"/>
    <w:rsid w:val="00105AF3"/>
    <w:rsid w:val="00116472"/>
    <w:rsid w:val="00116E99"/>
    <w:rsid w:val="00123008"/>
    <w:rsid w:val="00123882"/>
    <w:rsid w:val="00133ACA"/>
    <w:rsid w:val="0014058D"/>
    <w:rsid w:val="001407BB"/>
    <w:rsid w:val="00143594"/>
    <w:rsid w:val="001531F1"/>
    <w:rsid w:val="00174C58"/>
    <w:rsid w:val="0017674A"/>
    <w:rsid w:val="0017776C"/>
    <w:rsid w:val="001A07CF"/>
    <w:rsid w:val="001A5E84"/>
    <w:rsid w:val="001B053D"/>
    <w:rsid w:val="001B199A"/>
    <w:rsid w:val="001B69C6"/>
    <w:rsid w:val="001B7F25"/>
    <w:rsid w:val="001C2E50"/>
    <w:rsid w:val="001D798F"/>
    <w:rsid w:val="001E7BF0"/>
    <w:rsid w:val="001F2C86"/>
    <w:rsid w:val="001F7074"/>
    <w:rsid w:val="002071FD"/>
    <w:rsid w:val="00207887"/>
    <w:rsid w:val="002102A1"/>
    <w:rsid w:val="00217C44"/>
    <w:rsid w:val="00224D4F"/>
    <w:rsid w:val="00237C44"/>
    <w:rsid w:val="00244599"/>
    <w:rsid w:val="00251D2A"/>
    <w:rsid w:val="00251DA7"/>
    <w:rsid w:val="002539A2"/>
    <w:rsid w:val="002566C0"/>
    <w:rsid w:val="00257A70"/>
    <w:rsid w:val="002604DC"/>
    <w:rsid w:val="00261BDF"/>
    <w:rsid w:val="00264253"/>
    <w:rsid w:val="00265EAD"/>
    <w:rsid w:val="00266881"/>
    <w:rsid w:val="00280A27"/>
    <w:rsid w:val="00284A29"/>
    <w:rsid w:val="00291869"/>
    <w:rsid w:val="00293EC4"/>
    <w:rsid w:val="002A0F89"/>
    <w:rsid w:val="002A6482"/>
    <w:rsid w:val="002B1729"/>
    <w:rsid w:val="002B6DE8"/>
    <w:rsid w:val="002B7BCE"/>
    <w:rsid w:val="002B7FF2"/>
    <w:rsid w:val="002C6741"/>
    <w:rsid w:val="002D311D"/>
    <w:rsid w:val="002D61C6"/>
    <w:rsid w:val="002E0ED0"/>
    <w:rsid w:val="002E255E"/>
    <w:rsid w:val="002E4DC6"/>
    <w:rsid w:val="002F3245"/>
    <w:rsid w:val="002F796F"/>
    <w:rsid w:val="00300614"/>
    <w:rsid w:val="00301780"/>
    <w:rsid w:val="003024C8"/>
    <w:rsid w:val="00304ABB"/>
    <w:rsid w:val="00322707"/>
    <w:rsid w:val="0033111D"/>
    <w:rsid w:val="003318E4"/>
    <w:rsid w:val="0033433C"/>
    <w:rsid w:val="00343AD5"/>
    <w:rsid w:val="00344686"/>
    <w:rsid w:val="00346BBC"/>
    <w:rsid w:val="003746BF"/>
    <w:rsid w:val="00397113"/>
    <w:rsid w:val="00397F56"/>
    <w:rsid w:val="003A05D5"/>
    <w:rsid w:val="003A4F6B"/>
    <w:rsid w:val="003A6359"/>
    <w:rsid w:val="003B03C4"/>
    <w:rsid w:val="003B4139"/>
    <w:rsid w:val="003C3001"/>
    <w:rsid w:val="003D0921"/>
    <w:rsid w:val="003F26DF"/>
    <w:rsid w:val="003F5B0A"/>
    <w:rsid w:val="003F6E87"/>
    <w:rsid w:val="00401A4A"/>
    <w:rsid w:val="00404544"/>
    <w:rsid w:val="00404BF5"/>
    <w:rsid w:val="00416BED"/>
    <w:rsid w:val="0041792C"/>
    <w:rsid w:val="00421FA7"/>
    <w:rsid w:val="00425085"/>
    <w:rsid w:val="00426384"/>
    <w:rsid w:val="004419B8"/>
    <w:rsid w:val="00451C78"/>
    <w:rsid w:val="004521FB"/>
    <w:rsid w:val="00453C08"/>
    <w:rsid w:val="004662D8"/>
    <w:rsid w:val="00470121"/>
    <w:rsid w:val="00470A0F"/>
    <w:rsid w:val="00475760"/>
    <w:rsid w:val="00480626"/>
    <w:rsid w:val="00482380"/>
    <w:rsid w:val="00486BE8"/>
    <w:rsid w:val="0049197F"/>
    <w:rsid w:val="00494207"/>
    <w:rsid w:val="004A4AFC"/>
    <w:rsid w:val="004A6CD4"/>
    <w:rsid w:val="004B20BA"/>
    <w:rsid w:val="004B3AAC"/>
    <w:rsid w:val="004B45D6"/>
    <w:rsid w:val="004B6A42"/>
    <w:rsid w:val="004C799C"/>
    <w:rsid w:val="004C7CCF"/>
    <w:rsid w:val="004D6104"/>
    <w:rsid w:val="004E024A"/>
    <w:rsid w:val="004E20C2"/>
    <w:rsid w:val="004E4F6E"/>
    <w:rsid w:val="004F6F02"/>
    <w:rsid w:val="00500E72"/>
    <w:rsid w:val="005038B8"/>
    <w:rsid w:val="00506A68"/>
    <w:rsid w:val="00514CAF"/>
    <w:rsid w:val="00543258"/>
    <w:rsid w:val="0055016E"/>
    <w:rsid w:val="00552B28"/>
    <w:rsid w:val="00555FDF"/>
    <w:rsid w:val="005560C6"/>
    <w:rsid w:val="005634C1"/>
    <w:rsid w:val="00565210"/>
    <w:rsid w:val="005705DA"/>
    <w:rsid w:val="00574145"/>
    <w:rsid w:val="00575779"/>
    <w:rsid w:val="005936DE"/>
    <w:rsid w:val="00597C66"/>
    <w:rsid w:val="005B0026"/>
    <w:rsid w:val="005B36A0"/>
    <w:rsid w:val="005B4CFA"/>
    <w:rsid w:val="005C1B7A"/>
    <w:rsid w:val="005C31A6"/>
    <w:rsid w:val="005C3540"/>
    <w:rsid w:val="005E6F5E"/>
    <w:rsid w:val="005F0F6B"/>
    <w:rsid w:val="00600FB0"/>
    <w:rsid w:val="006048B4"/>
    <w:rsid w:val="00607022"/>
    <w:rsid w:val="006074FD"/>
    <w:rsid w:val="006226AD"/>
    <w:rsid w:val="00624A94"/>
    <w:rsid w:val="00640EEC"/>
    <w:rsid w:val="00646B3B"/>
    <w:rsid w:val="00646C9C"/>
    <w:rsid w:val="00657F13"/>
    <w:rsid w:val="00664297"/>
    <w:rsid w:val="006659EE"/>
    <w:rsid w:val="0066701F"/>
    <w:rsid w:val="006751D8"/>
    <w:rsid w:val="00676ED0"/>
    <w:rsid w:val="00682237"/>
    <w:rsid w:val="006829EF"/>
    <w:rsid w:val="006C4664"/>
    <w:rsid w:val="006D6496"/>
    <w:rsid w:val="006E03B2"/>
    <w:rsid w:val="006E1E3E"/>
    <w:rsid w:val="006F04C9"/>
    <w:rsid w:val="00710729"/>
    <w:rsid w:val="007156ED"/>
    <w:rsid w:val="00724666"/>
    <w:rsid w:val="00724A2F"/>
    <w:rsid w:val="007365F9"/>
    <w:rsid w:val="00745163"/>
    <w:rsid w:val="00752B5C"/>
    <w:rsid w:val="007548A4"/>
    <w:rsid w:val="00754992"/>
    <w:rsid w:val="0076182E"/>
    <w:rsid w:val="00766274"/>
    <w:rsid w:val="00771206"/>
    <w:rsid w:val="007868B3"/>
    <w:rsid w:val="00791EFF"/>
    <w:rsid w:val="007A0F9F"/>
    <w:rsid w:val="007A4488"/>
    <w:rsid w:val="007B6747"/>
    <w:rsid w:val="007D6AA5"/>
    <w:rsid w:val="007E03CF"/>
    <w:rsid w:val="007E215A"/>
    <w:rsid w:val="007E243F"/>
    <w:rsid w:val="007E3950"/>
    <w:rsid w:val="007E423D"/>
    <w:rsid w:val="007E61A6"/>
    <w:rsid w:val="007F7B8A"/>
    <w:rsid w:val="008044C4"/>
    <w:rsid w:val="00810781"/>
    <w:rsid w:val="00811607"/>
    <w:rsid w:val="00815C0C"/>
    <w:rsid w:val="0081708E"/>
    <w:rsid w:val="008351E5"/>
    <w:rsid w:val="008B072C"/>
    <w:rsid w:val="008B3520"/>
    <w:rsid w:val="008C2D60"/>
    <w:rsid w:val="008D1474"/>
    <w:rsid w:val="008E271C"/>
    <w:rsid w:val="008E3DB5"/>
    <w:rsid w:val="008F0524"/>
    <w:rsid w:val="009000F3"/>
    <w:rsid w:val="00901E8A"/>
    <w:rsid w:val="00902EB5"/>
    <w:rsid w:val="00904377"/>
    <w:rsid w:val="00905BAE"/>
    <w:rsid w:val="0091169E"/>
    <w:rsid w:val="00912753"/>
    <w:rsid w:val="00922281"/>
    <w:rsid w:val="00933498"/>
    <w:rsid w:val="00933F9D"/>
    <w:rsid w:val="009526F1"/>
    <w:rsid w:val="00956497"/>
    <w:rsid w:val="009644C0"/>
    <w:rsid w:val="00965119"/>
    <w:rsid w:val="0097736B"/>
    <w:rsid w:val="00981BAA"/>
    <w:rsid w:val="00996719"/>
    <w:rsid w:val="00996E33"/>
    <w:rsid w:val="009B115C"/>
    <w:rsid w:val="009B78FF"/>
    <w:rsid w:val="009C2F4E"/>
    <w:rsid w:val="009C5B82"/>
    <w:rsid w:val="009D2846"/>
    <w:rsid w:val="009D57E7"/>
    <w:rsid w:val="009E1C8E"/>
    <w:rsid w:val="009F0012"/>
    <w:rsid w:val="009F0CA8"/>
    <w:rsid w:val="009F1180"/>
    <w:rsid w:val="009F664C"/>
    <w:rsid w:val="00A136D0"/>
    <w:rsid w:val="00A15A85"/>
    <w:rsid w:val="00A21D5B"/>
    <w:rsid w:val="00A25AA8"/>
    <w:rsid w:val="00A26E9D"/>
    <w:rsid w:val="00A324C9"/>
    <w:rsid w:val="00A34969"/>
    <w:rsid w:val="00A35D65"/>
    <w:rsid w:val="00A44F0C"/>
    <w:rsid w:val="00A47396"/>
    <w:rsid w:val="00A50915"/>
    <w:rsid w:val="00A50EEA"/>
    <w:rsid w:val="00A5321E"/>
    <w:rsid w:val="00A54704"/>
    <w:rsid w:val="00A56756"/>
    <w:rsid w:val="00A62E87"/>
    <w:rsid w:val="00A648B8"/>
    <w:rsid w:val="00A66413"/>
    <w:rsid w:val="00A71DBA"/>
    <w:rsid w:val="00A74280"/>
    <w:rsid w:val="00A75C85"/>
    <w:rsid w:val="00A83399"/>
    <w:rsid w:val="00A87DFF"/>
    <w:rsid w:val="00A906DA"/>
    <w:rsid w:val="00A942E8"/>
    <w:rsid w:val="00AA31F3"/>
    <w:rsid w:val="00AA6580"/>
    <w:rsid w:val="00AA75DB"/>
    <w:rsid w:val="00AB0493"/>
    <w:rsid w:val="00AB2E15"/>
    <w:rsid w:val="00AB7FB6"/>
    <w:rsid w:val="00AC0B3F"/>
    <w:rsid w:val="00AC181C"/>
    <w:rsid w:val="00AC2241"/>
    <w:rsid w:val="00AC7A4D"/>
    <w:rsid w:val="00AD5839"/>
    <w:rsid w:val="00AE4B14"/>
    <w:rsid w:val="00AE4BCC"/>
    <w:rsid w:val="00B044E8"/>
    <w:rsid w:val="00B04B33"/>
    <w:rsid w:val="00B108C1"/>
    <w:rsid w:val="00B230AC"/>
    <w:rsid w:val="00B26485"/>
    <w:rsid w:val="00B3095B"/>
    <w:rsid w:val="00B32DCF"/>
    <w:rsid w:val="00B510C3"/>
    <w:rsid w:val="00B551AD"/>
    <w:rsid w:val="00B5733D"/>
    <w:rsid w:val="00B616D8"/>
    <w:rsid w:val="00B64742"/>
    <w:rsid w:val="00B67634"/>
    <w:rsid w:val="00B74609"/>
    <w:rsid w:val="00B767DA"/>
    <w:rsid w:val="00B86877"/>
    <w:rsid w:val="00BA4552"/>
    <w:rsid w:val="00BA5E20"/>
    <w:rsid w:val="00BB2B8E"/>
    <w:rsid w:val="00BB50B6"/>
    <w:rsid w:val="00BB5479"/>
    <w:rsid w:val="00BC3CAF"/>
    <w:rsid w:val="00BD752A"/>
    <w:rsid w:val="00BE4C2E"/>
    <w:rsid w:val="00BE7144"/>
    <w:rsid w:val="00BF1E01"/>
    <w:rsid w:val="00BF26F4"/>
    <w:rsid w:val="00C033E9"/>
    <w:rsid w:val="00C10A1F"/>
    <w:rsid w:val="00C15E64"/>
    <w:rsid w:val="00C1794B"/>
    <w:rsid w:val="00C3118F"/>
    <w:rsid w:val="00C464C8"/>
    <w:rsid w:val="00C608AD"/>
    <w:rsid w:val="00C82D36"/>
    <w:rsid w:val="00C836A7"/>
    <w:rsid w:val="00C83713"/>
    <w:rsid w:val="00C84565"/>
    <w:rsid w:val="00C85522"/>
    <w:rsid w:val="00C92E23"/>
    <w:rsid w:val="00CA0EDA"/>
    <w:rsid w:val="00CA6778"/>
    <w:rsid w:val="00CC116A"/>
    <w:rsid w:val="00CC65BF"/>
    <w:rsid w:val="00CD52D6"/>
    <w:rsid w:val="00CD67D2"/>
    <w:rsid w:val="00CE1904"/>
    <w:rsid w:val="00CE2232"/>
    <w:rsid w:val="00CE36C1"/>
    <w:rsid w:val="00CE4E4F"/>
    <w:rsid w:val="00CF3D0A"/>
    <w:rsid w:val="00CF63D2"/>
    <w:rsid w:val="00D01623"/>
    <w:rsid w:val="00D06969"/>
    <w:rsid w:val="00D1221E"/>
    <w:rsid w:val="00D23B06"/>
    <w:rsid w:val="00D40080"/>
    <w:rsid w:val="00D42A8C"/>
    <w:rsid w:val="00D42E85"/>
    <w:rsid w:val="00D43F4D"/>
    <w:rsid w:val="00D559BB"/>
    <w:rsid w:val="00D62C99"/>
    <w:rsid w:val="00D6356A"/>
    <w:rsid w:val="00D66730"/>
    <w:rsid w:val="00D67AC5"/>
    <w:rsid w:val="00D72DB7"/>
    <w:rsid w:val="00D8375D"/>
    <w:rsid w:val="00D838F8"/>
    <w:rsid w:val="00D85369"/>
    <w:rsid w:val="00D85A73"/>
    <w:rsid w:val="00D86423"/>
    <w:rsid w:val="00D9146B"/>
    <w:rsid w:val="00D91DD7"/>
    <w:rsid w:val="00D934F9"/>
    <w:rsid w:val="00D9696C"/>
    <w:rsid w:val="00DB2BB3"/>
    <w:rsid w:val="00DB7D7B"/>
    <w:rsid w:val="00DC0ACC"/>
    <w:rsid w:val="00DC112E"/>
    <w:rsid w:val="00DD735B"/>
    <w:rsid w:val="00DE0DB0"/>
    <w:rsid w:val="00DE0DE0"/>
    <w:rsid w:val="00DE418E"/>
    <w:rsid w:val="00DE61F8"/>
    <w:rsid w:val="00DE6305"/>
    <w:rsid w:val="00E03DD6"/>
    <w:rsid w:val="00E04383"/>
    <w:rsid w:val="00E07E98"/>
    <w:rsid w:val="00E13DB5"/>
    <w:rsid w:val="00E24BE2"/>
    <w:rsid w:val="00E309BC"/>
    <w:rsid w:val="00E3472F"/>
    <w:rsid w:val="00E34D0A"/>
    <w:rsid w:val="00E41637"/>
    <w:rsid w:val="00E42E0B"/>
    <w:rsid w:val="00E468F5"/>
    <w:rsid w:val="00E4716C"/>
    <w:rsid w:val="00E53D11"/>
    <w:rsid w:val="00E569EB"/>
    <w:rsid w:val="00E703A4"/>
    <w:rsid w:val="00E740BB"/>
    <w:rsid w:val="00E76DA6"/>
    <w:rsid w:val="00E8065E"/>
    <w:rsid w:val="00E84BB2"/>
    <w:rsid w:val="00E85069"/>
    <w:rsid w:val="00E93805"/>
    <w:rsid w:val="00E94971"/>
    <w:rsid w:val="00E96476"/>
    <w:rsid w:val="00E966FE"/>
    <w:rsid w:val="00E97B9D"/>
    <w:rsid w:val="00EA2A89"/>
    <w:rsid w:val="00EA5C0A"/>
    <w:rsid w:val="00EA6050"/>
    <w:rsid w:val="00EB126C"/>
    <w:rsid w:val="00EB6D3A"/>
    <w:rsid w:val="00EC2B96"/>
    <w:rsid w:val="00EC52CB"/>
    <w:rsid w:val="00EC6E95"/>
    <w:rsid w:val="00EF27C8"/>
    <w:rsid w:val="00EF6EF0"/>
    <w:rsid w:val="00F11072"/>
    <w:rsid w:val="00F201C0"/>
    <w:rsid w:val="00F21279"/>
    <w:rsid w:val="00F26851"/>
    <w:rsid w:val="00F36D84"/>
    <w:rsid w:val="00F543A3"/>
    <w:rsid w:val="00F60C89"/>
    <w:rsid w:val="00F72DB6"/>
    <w:rsid w:val="00F72F01"/>
    <w:rsid w:val="00F74679"/>
    <w:rsid w:val="00F963C4"/>
    <w:rsid w:val="00FA0209"/>
    <w:rsid w:val="00FB06DC"/>
    <w:rsid w:val="00FB1E00"/>
    <w:rsid w:val="00FB4C71"/>
    <w:rsid w:val="00FB5DC4"/>
    <w:rsid w:val="00FC02A4"/>
    <w:rsid w:val="00FD2D07"/>
    <w:rsid w:val="00FF3B22"/>
    <w:rsid w:val="00FF64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56A"/>
  </w:style>
  <w:style w:type="paragraph" w:styleId="Heading1">
    <w:name w:val="heading 1"/>
    <w:basedOn w:val="Normal"/>
    <w:next w:val="Normal"/>
    <w:qFormat/>
    <w:rsid w:val="00D6356A"/>
    <w:pPr>
      <w:keepNext/>
      <w:jc w:val="center"/>
      <w:outlineLvl w:val="0"/>
    </w:pPr>
    <w:rPr>
      <w:b/>
      <w:sz w:val="24"/>
    </w:rPr>
  </w:style>
  <w:style w:type="paragraph" w:styleId="Heading2">
    <w:name w:val="heading 2"/>
    <w:basedOn w:val="Normal"/>
    <w:next w:val="Normal"/>
    <w:qFormat/>
    <w:rsid w:val="00D6356A"/>
    <w:pPr>
      <w:keepNext/>
      <w:spacing w:line="480" w:lineRule="auto"/>
      <w:outlineLvl w:val="1"/>
    </w:pPr>
    <w:rPr>
      <w:b/>
      <w:sz w:val="24"/>
      <w:u w:val="single"/>
    </w:rPr>
  </w:style>
  <w:style w:type="paragraph" w:styleId="Heading3">
    <w:name w:val="heading 3"/>
    <w:basedOn w:val="Normal"/>
    <w:next w:val="Normal"/>
    <w:qFormat/>
    <w:rsid w:val="00D6356A"/>
    <w:pPr>
      <w:keepNext/>
      <w:tabs>
        <w:tab w:val="left" w:pos="4320"/>
      </w:tabs>
      <w:outlineLvl w:val="2"/>
    </w:pPr>
    <w:rPr>
      <w:sz w:val="24"/>
    </w:rPr>
  </w:style>
  <w:style w:type="paragraph" w:styleId="Heading4">
    <w:name w:val="heading 4"/>
    <w:basedOn w:val="Normal"/>
    <w:next w:val="Normal"/>
    <w:qFormat/>
    <w:rsid w:val="00D6356A"/>
    <w:pPr>
      <w:keepNext/>
      <w:spacing w:line="480" w:lineRule="auto"/>
      <w:jc w:val="both"/>
      <w:outlineLvl w:val="3"/>
    </w:pPr>
    <w:rPr>
      <w:b/>
      <w:sz w:val="24"/>
      <w:u w:val="single"/>
    </w:rPr>
  </w:style>
  <w:style w:type="paragraph" w:styleId="Heading5">
    <w:name w:val="heading 5"/>
    <w:basedOn w:val="Normal"/>
    <w:next w:val="Normal"/>
    <w:qFormat/>
    <w:rsid w:val="00D6356A"/>
    <w:pPr>
      <w:keepNext/>
      <w:spacing w:line="480" w:lineRule="auto"/>
      <w:jc w:val="center"/>
      <w:outlineLvl w:val="4"/>
    </w:pPr>
    <w:rPr>
      <w:b/>
      <w:sz w:val="24"/>
      <w:u w:val="single"/>
    </w:rPr>
  </w:style>
  <w:style w:type="paragraph" w:styleId="Heading6">
    <w:name w:val="heading 6"/>
    <w:basedOn w:val="Normal"/>
    <w:next w:val="Normal"/>
    <w:qFormat/>
    <w:rsid w:val="00D6356A"/>
    <w:pPr>
      <w:keepNext/>
      <w:spacing w:line="480" w:lineRule="auto"/>
      <w:ind w:firstLine="720"/>
      <w:jc w:val="center"/>
      <w:outlineLvl w:val="5"/>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6356A"/>
    <w:pPr>
      <w:jc w:val="center"/>
    </w:pPr>
    <w:rPr>
      <w:b/>
      <w:sz w:val="24"/>
    </w:rPr>
  </w:style>
  <w:style w:type="paragraph" w:styleId="BodyText">
    <w:name w:val="Body Text"/>
    <w:basedOn w:val="Normal"/>
    <w:rsid w:val="00D6356A"/>
    <w:rPr>
      <w:sz w:val="24"/>
    </w:rPr>
  </w:style>
  <w:style w:type="paragraph" w:styleId="Footer">
    <w:name w:val="footer"/>
    <w:basedOn w:val="Normal"/>
    <w:rsid w:val="00D6356A"/>
    <w:pPr>
      <w:tabs>
        <w:tab w:val="center" w:pos="4320"/>
        <w:tab w:val="right" w:pos="8640"/>
      </w:tabs>
    </w:pPr>
  </w:style>
  <w:style w:type="character" w:styleId="PageNumber">
    <w:name w:val="page number"/>
    <w:basedOn w:val="DefaultParagraphFont"/>
    <w:rsid w:val="00D6356A"/>
  </w:style>
  <w:style w:type="paragraph" w:styleId="BodyTextIndent">
    <w:name w:val="Body Text Indent"/>
    <w:basedOn w:val="Normal"/>
    <w:rsid w:val="00D6356A"/>
    <w:pPr>
      <w:ind w:left="2160" w:hanging="720"/>
    </w:pPr>
    <w:rPr>
      <w:sz w:val="24"/>
    </w:rPr>
  </w:style>
  <w:style w:type="paragraph" w:styleId="BodyTextIndent2">
    <w:name w:val="Body Text Indent 2"/>
    <w:basedOn w:val="Normal"/>
    <w:rsid w:val="00D6356A"/>
    <w:pPr>
      <w:ind w:left="2160"/>
    </w:pPr>
    <w:rPr>
      <w:sz w:val="24"/>
    </w:rPr>
  </w:style>
  <w:style w:type="character" w:styleId="Hyperlink">
    <w:name w:val="Hyperlink"/>
    <w:basedOn w:val="DefaultParagraphFont"/>
    <w:rsid w:val="00D6356A"/>
    <w:rPr>
      <w:color w:val="0000FF"/>
      <w:u w:val="single"/>
    </w:rPr>
  </w:style>
  <w:style w:type="paragraph" w:styleId="FootnoteText">
    <w:name w:val="footnote text"/>
    <w:basedOn w:val="Normal"/>
    <w:semiHidden/>
    <w:rsid w:val="00D6356A"/>
  </w:style>
  <w:style w:type="character" w:styleId="FootnoteReference">
    <w:name w:val="footnote reference"/>
    <w:basedOn w:val="DefaultParagraphFont"/>
    <w:semiHidden/>
    <w:rsid w:val="00D6356A"/>
    <w:rPr>
      <w:vertAlign w:val="superscript"/>
    </w:rPr>
  </w:style>
  <w:style w:type="paragraph" w:styleId="BodyTextIndent3">
    <w:name w:val="Body Text Indent 3"/>
    <w:basedOn w:val="Normal"/>
    <w:rsid w:val="00D6356A"/>
    <w:pPr>
      <w:spacing w:line="480" w:lineRule="auto"/>
      <w:ind w:firstLine="720"/>
      <w:jc w:val="both"/>
    </w:pPr>
    <w:rPr>
      <w:sz w:val="24"/>
    </w:rPr>
  </w:style>
  <w:style w:type="paragraph" w:styleId="Header">
    <w:name w:val="header"/>
    <w:basedOn w:val="Normal"/>
    <w:link w:val="HeaderChar"/>
    <w:uiPriority w:val="99"/>
    <w:rsid w:val="00D6356A"/>
    <w:pPr>
      <w:tabs>
        <w:tab w:val="center" w:pos="4320"/>
        <w:tab w:val="right" w:pos="8640"/>
      </w:tabs>
    </w:pPr>
  </w:style>
  <w:style w:type="paragraph" w:styleId="DocumentMap">
    <w:name w:val="Document Map"/>
    <w:basedOn w:val="Normal"/>
    <w:semiHidden/>
    <w:rsid w:val="001E7BF0"/>
    <w:pPr>
      <w:shd w:val="clear" w:color="auto" w:fill="000080"/>
    </w:pPr>
    <w:rPr>
      <w:rFonts w:ascii="Tahoma" w:hAnsi="Tahoma" w:cs="Tahoma"/>
    </w:rPr>
  </w:style>
  <w:style w:type="character" w:customStyle="1" w:styleId="HeaderChar">
    <w:name w:val="Header Char"/>
    <w:basedOn w:val="DefaultParagraphFont"/>
    <w:link w:val="Header"/>
    <w:uiPriority w:val="99"/>
    <w:rsid w:val="004B45D6"/>
  </w:style>
  <w:style w:type="paragraph" w:styleId="BalloonText">
    <w:name w:val="Balloon Text"/>
    <w:basedOn w:val="Normal"/>
    <w:link w:val="BalloonTextChar"/>
    <w:rsid w:val="004B45D6"/>
    <w:rPr>
      <w:rFonts w:ascii="Tahoma" w:hAnsi="Tahoma" w:cs="Tahoma"/>
      <w:sz w:val="16"/>
      <w:szCs w:val="16"/>
    </w:rPr>
  </w:style>
  <w:style w:type="character" w:customStyle="1" w:styleId="BalloonTextChar">
    <w:name w:val="Balloon Text Char"/>
    <w:basedOn w:val="DefaultParagraphFont"/>
    <w:link w:val="BalloonText"/>
    <w:rsid w:val="004B45D6"/>
    <w:rPr>
      <w:rFonts w:ascii="Tahoma" w:hAnsi="Tahoma" w:cs="Tahoma"/>
      <w:sz w:val="16"/>
      <w:szCs w:val="16"/>
    </w:rPr>
  </w:style>
  <w:style w:type="character" w:styleId="CommentReference">
    <w:name w:val="annotation reference"/>
    <w:basedOn w:val="DefaultParagraphFont"/>
    <w:semiHidden/>
    <w:unhideWhenUsed/>
    <w:rsid w:val="00103A1E"/>
    <w:rPr>
      <w:sz w:val="16"/>
      <w:szCs w:val="16"/>
    </w:rPr>
  </w:style>
  <w:style w:type="paragraph" w:styleId="CommentText">
    <w:name w:val="annotation text"/>
    <w:basedOn w:val="Normal"/>
    <w:link w:val="CommentTextChar"/>
    <w:unhideWhenUsed/>
    <w:rsid w:val="00103A1E"/>
  </w:style>
  <w:style w:type="character" w:customStyle="1" w:styleId="CommentTextChar">
    <w:name w:val="Comment Text Char"/>
    <w:basedOn w:val="DefaultParagraphFont"/>
    <w:link w:val="CommentText"/>
    <w:rsid w:val="00103A1E"/>
  </w:style>
  <w:style w:type="paragraph" w:styleId="CommentSubject">
    <w:name w:val="annotation subject"/>
    <w:basedOn w:val="CommentText"/>
    <w:next w:val="CommentText"/>
    <w:link w:val="CommentSubjectChar"/>
    <w:semiHidden/>
    <w:unhideWhenUsed/>
    <w:rsid w:val="00103A1E"/>
    <w:rPr>
      <w:b/>
      <w:bCs/>
    </w:rPr>
  </w:style>
  <w:style w:type="character" w:customStyle="1" w:styleId="CommentSubjectChar">
    <w:name w:val="Comment Subject Char"/>
    <w:basedOn w:val="CommentTextChar"/>
    <w:link w:val="CommentSubject"/>
    <w:semiHidden/>
    <w:rsid w:val="00103A1E"/>
    <w:rPr>
      <w:b/>
      <w:bCs/>
    </w:rPr>
  </w:style>
  <w:style w:type="paragraph" w:styleId="Revision">
    <w:name w:val="Revision"/>
    <w:hidden/>
    <w:uiPriority w:val="99"/>
    <w:semiHidden/>
    <w:rsid w:val="00266881"/>
  </w:style>
  <w:style w:type="paragraph" w:styleId="ListParagraph">
    <w:name w:val="List Paragraph"/>
    <w:basedOn w:val="Normal"/>
    <w:uiPriority w:val="34"/>
    <w:qFormat/>
    <w:rsid w:val="00BB5479"/>
    <w:pPr>
      <w:ind w:left="720"/>
      <w:contextualSpacing/>
    </w:pPr>
  </w:style>
</w:styles>
</file>

<file path=word/webSettings.xml><?xml version="1.0" encoding="utf-8"?>
<w:webSettings xmlns:r="http://schemas.openxmlformats.org/officeDocument/2006/relationships" xmlns:w="http://schemas.openxmlformats.org/wordprocessingml/2006/main">
  <w:divs>
    <w:div w:id="50732275">
      <w:bodyDiv w:val="1"/>
      <w:marLeft w:val="0"/>
      <w:marRight w:val="0"/>
      <w:marTop w:val="0"/>
      <w:marBottom w:val="0"/>
      <w:divBdr>
        <w:top w:val="none" w:sz="0" w:space="0" w:color="auto"/>
        <w:left w:val="none" w:sz="0" w:space="0" w:color="auto"/>
        <w:bottom w:val="none" w:sz="0" w:space="0" w:color="auto"/>
        <w:right w:val="none" w:sz="0" w:space="0" w:color="auto"/>
      </w:divBdr>
    </w:div>
    <w:div w:id="86971051">
      <w:bodyDiv w:val="1"/>
      <w:marLeft w:val="0"/>
      <w:marRight w:val="0"/>
      <w:marTop w:val="0"/>
      <w:marBottom w:val="0"/>
      <w:divBdr>
        <w:top w:val="none" w:sz="0" w:space="0" w:color="auto"/>
        <w:left w:val="none" w:sz="0" w:space="0" w:color="auto"/>
        <w:bottom w:val="none" w:sz="0" w:space="0" w:color="auto"/>
        <w:right w:val="none" w:sz="0" w:space="0" w:color="auto"/>
      </w:divBdr>
    </w:div>
    <w:div w:id="178004455">
      <w:bodyDiv w:val="1"/>
      <w:marLeft w:val="0"/>
      <w:marRight w:val="0"/>
      <w:marTop w:val="0"/>
      <w:marBottom w:val="0"/>
      <w:divBdr>
        <w:top w:val="none" w:sz="0" w:space="0" w:color="auto"/>
        <w:left w:val="none" w:sz="0" w:space="0" w:color="auto"/>
        <w:bottom w:val="none" w:sz="0" w:space="0" w:color="auto"/>
        <w:right w:val="none" w:sz="0" w:space="0" w:color="auto"/>
      </w:divBdr>
    </w:div>
    <w:div w:id="417557156">
      <w:bodyDiv w:val="1"/>
      <w:marLeft w:val="0"/>
      <w:marRight w:val="0"/>
      <w:marTop w:val="0"/>
      <w:marBottom w:val="0"/>
      <w:divBdr>
        <w:top w:val="none" w:sz="0" w:space="0" w:color="auto"/>
        <w:left w:val="none" w:sz="0" w:space="0" w:color="auto"/>
        <w:bottom w:val="none" w:sz="0" w:space="0" w:color="auto"/>
        <w:right w:val="none" w:sz="0" w:space="0" w:color="auto"/>
      </w:divBdr>
    </w:div>
    <w:div w:id="624583248">
      <w:bodyDiv w:val="1"/>
      <w:marLeft w:val="0"/>
      <w:marRight w:val="0"/>
      <w:marTop w:val="0"/>
      <w:marBottom w:val="0"/>
      <w:divBdr>
        <w:top w:val="none" w:sz="0" w:space="0" w:color="auto"/>
        <w:left w:val="none" w:sz="0" w:space="0" w:color="auto"/>
        <w:bottom w:val="none" w:sz="0" w:space="0" w:color="auto"/>
        <w:right w:val="none" w:sz="0" w:space="0" w:color="auto"/>
      </w:divBdr>
    </w:div>
    <w:div w:id="758868131">
      <w:bodyDiv w:val="1"/>
      <w:marLeft w:val="0"/>
      <w:marRight w:val="0"/>
      <w:marTop w:val="0"/>
      <w:marBottom w:val="0"/>
      <w:divBdr>
        <w:top w:val="none" w:sz="0" w:space="0" w:color="auto"/>
        <w:left w:val="none" w:sz="0" w:space="0" w:color="auto"/>
        <w:bottom w:val="none" w:sz="0" w:space="0" w:color="auto"/>
        <w:right w:val="none" w:sz="0" w:space="0" w:color="auto"/>
      </w:divBdr>
    </w:div>
    <w:div w:id="1013075530">
      <w:bodyDiv w:val="1"/>
      <w:marLeft w:val="0"/>
      <w:marRight w:val="0"/>
      <w:marTop w:val="0"/>
      <w:marBottom w:val="0"/>
      <w:divBdr>
        <w:top w:val="none" w:sz="0" w:space="0" w:color="auto"/>
        <w:left w:val="none" w:sz="0" w:space="0" w:color="auto"/>
        <w:bottom w:val="none" w:sz="0" w:space="0" w:color="auto"/>
        <w:right w:val="none" w:sz="0" w:space="0" w:color="auto"/>
      </w:divBdr>
    </w:div>
    <w:div w:id="1764375053">
      <w:bodyDiv w:val="1"/>
      <w:marLeft w:val="0"/>
      <w:marRight w:val="0"/>
      <w:marTop w:val="0"/>
      <w:marBottom w:val="0"/>
      <w:divBdr>
        <w:top w:val="none" w:sz="0" w:space="0" w:color="auto"/>
        <w:left w:val="none" w:sz="0" w:space="0" w:color="auto"/>
        <w:bottom w:val="none" w:sz="0" w:space="0" w:color="auto"/>
        <w:right w:val="none" w:sz="0" w:space="0" w:color="auto"/>
      </w:divBdr>
    </w:div>
    <w:div w:id="197278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mes.owen@ded.mo.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F60D5-B254-4FD8-A90B-5D9FE43F4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661</Words>
  <Characters>3666</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BEFORE THE PUBLIC SERVICE COMMISSION</vt:lpstr>
    </vt:vector>
  </TitlesOfParts>
  <Company>Laclede Gas Company</Company>
  <LinksUpToDate>false</LinksUpToDate>
  <CharactersWithSpaces>4319</CharactersWithSpaces>
  <SharedDoc>false</SharedDoc>
  <HLinks>
    <vt:vector size="12" baseType="variant">
      <vt:variant>
        <vt:i4>7077913</vt:i4>
      </vt:variant>
      <vt:variant>
        <vt:i4>3</vt:i4>
      </vt:variant>
      <vt:variant>
        <vt:i4>0</vt:i4>
      </vt:variant>
      <vt:variant>
        <vt:i4>5</vt:i4>
      </vt:variant>
      <vt:variant>
        <vt:lpwstr>mailto:gencounsel@psc.mo.gov</vt:lpwstr>
      </vt:variant>
      <vt:variant>
        <vt:lpwstr/>
      </vt:variant>
      <vt:variant>
        <vt:i4>655399</vt:i4>
      </vt:variant>
      <vt:variant>
        <vt:i4>0</vt:i4>
      </vt:variant>
      <vt:variant>
        <vt:i4>0</vt:i4>
      </vt:variant>
      <vt:variant>
        <vt:i4>5</vt:i4>
      </vt:variant>
      <vt:variant>
        <vt:lpwstr>mailto:marc.poston@ded.mo.gov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PUBLIC SERVICE COMMISSION</dc:title>
  <dc:creator>08729</dc:creator>
  <cp:lastModifiedBy>hildet2</cp:lastModifiedBy>
  <cp:revision>2</cp:revision>
  <cp:lastPrinted>2016-04-07T16:27:00Z</cp:lastPrinted>
  <dcterms:created xsi:type="dcterms:W3CDTF">2016-12-28T18:14:00Z</dcterms:created>
  <dcterms:modified xsi:type="dcterms:W3CDTF">2016-12-28T18:14:00Z</dcterms:modified>
</cp:coreProperties>
</file>