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1F5" w:rsidRPr="004403C9" w:rsidRDefault="00A021F5">
      <w:pPr>
        <w:pStyle w:val="Header"/>
        <w:tabs>
          <w:tab w:val="clear" w:pos="4320"/>
          <w:tab w:val="clear" w:pos="8640"/>
        </w:tabs>
        <w:rPr>
          <w:sz w:val="22"/>
          <w:szCs w:val="22"/>
        </w:rPr>
      </w:pPr>
      <w:r w:rsidRPr="004403C9">
        <w:rPr>
          <w:sz w:val="22"/>
          <w:szCs w:val="22"/>
        </w:rPr>
        <w:t>PROMOTIONS</w:t>
      </w:r>
    </w:p>
    <w:p w:rsidR="00A021F5" w:rsidRPr="004403C9" w:rsidRDefault="00A021F5">
      <w:pPr>
        <w:rPr>
          <w:sz w:val="22"/>
          <w:szCs w:val="22"/>
        </w:rPr>
      </w:pPr>
    </w:p>
    <w:p w:rsidR="00A021F5" w:rsidRPr="004403C9" w:rsidRDefault="00A021F5">
      <w:pPr>
        <w:numPr>
          <w:ilvl w:val="0"/>
          <w:numId w:val="1"/>
        </w:numPr>
        <w:rPr>
          <w:sz w:val="22"/>
          <w:szCs w:val="22"/>
        </w:rPr>
      </w:pPr>
      <w:r w:rsidRPr="004403C9">
        <w:rPr>
          <w:sz w:val="22"/>
          <w:szCs w:val="22"/>
        </w:rPr>
        <w:t>General</w:t>
      </w:r>
    </w:p>
    <w:p w:rsidR="00A021F5" w:rsidRPr="004403C9" w:rsidRDefault="00A021F5">
      <w:pPr>
        <w:ind w:left="1080"/>
        <w:rPr>
          <w:sz w:val="22"/>
          <w:szCs w:val="22"/>
        </w:rPr>
      </w:pPr>
    </w:p>
    <w:p w:rsidR="00A021F5" w:rsidRPr="004403C9" w:rsidRDefault="00A021F5">
      <w:pPr>
        <w:ind w:left="1080"/>
        <w:rPr>
          <w:sz w:val="22"/>
          <w:szCs w:val="22"/>
        </w:rPr>
      </w:pPr>
      <w:r w:rsidRPr="004403C9">
        <w:rPr>
          <w:sz w:val="22"/>
          <w:szCs w:val="22"/>
        </w:rPr>
        <w:t>From time to time, the Telephone Company may elect to offer special promotions to its customers.  These promotions will generally consist of a reduced price, a waiver of installation charges, or a free service with a purchase of another service.</w:t>
      </w:r>
    </w:p>
    <w:p w:rsidR="00A021F5" w:rsidRPr="004403C9" w:rsidRDefault="00A021F5">
      <w:pPr>
        <w:rPr>
          <w:sz w:val="22"/>
          <w:szCs w:val="22"/>
        </w:rPr>
      </w:pPr>
    </w:p>
    <w:p w:rsidR="00A021F5" w:rsidRPr="004403C9" w:rsidRDefault="00A021F5">
      <w:pPr>
        <w:ind w:left="1080"/>
        <w:rPr>
          <w:sz w:val="22"/>
          <w:szCs w:val="22"/>
        </w:rPr>
      </w:pPr>
      <w:r w:rsidRPr="004403C9">
        <w:rPr>
          <w:sz w:val="22"/>
          <w:szCs w:val="22"/>
        </w:rPr>
        <w:t>Any promotional waiver or discounted rate will apply only one time per customer for each service in any given wire center prefix during the course of the promotional period, subject to prior notification and approval by the Missouri Public Service Commission.</w:t>
      </w:r>
    </w:p>
    <w:p w:rsidR="00A021F5" w:rsidRPr="004403C9" w:rsidRDefault="00A021F5">
      <w:pPr>
        <w:ind w:left="1080"/>
        <w:rPr>
          <w:sz w:val="22"/>
          <w:szCs w:val="22"/>
        </w:rPr>
      </w:pPr>
    </w:p>
    <w:p w:rsidR="00A021F5" w:rsidRPr="004403C9" w:rsidRDefault="00A021F5">
      <w:pPr>
        <w:ind w:left="1080"/>
        <w:rPr>
          <w:sz w:val="22"/>
          <w:szCs w:val="22"/>
        </w:rPr>
      </w:pPr>
      <w:r w:rsidRPr="004403C9">
        <w:rPr>
          <w:sz w:val="22"/>
          <w:szCs w:val="22"/>
        </w:rPr>
        <w:t>Fidelity Communications Services I, Inc. will provide written notice to the Commission no less than ten (10) days prior to the beginning of each promotion period identifying the promotion and the exchanges within which the promotion will be offered.  If facilities permit, all residence and/or business customers will be offered the same opportunity to take advantage of the same   terms and conditions under the promotions in which to subscribe to residence or business services.</w:t>
      </w:r>
    </w:p>
    <w:p w:rsidR="00A021F5" w:rsidRPr="004403C9" w:rsidRDefault="00D1457E">
      <w:pPr>
        <w:rPr>
          <w:sz w:val="22"/>
          <w:szCs w:val="22"/>
        </w:rPr>
      </w:pPr>
      <w:r>
        <w:rPr>
          <w:noProof/>
          <w:sz w:val="22"/>
          <w:szCs w:val="22"/>
        </w:rPr>
        <mc:AlternateContent>
          <mc:Choice Requires="wps">
            <w:drawing>
              <wp:anchor distT="0" distB="0" distL="114300" distR="114300" simplePos="0" relativeHeight="251657216" behindDoc="0" locked="0" layoutInCell="1" allowOverlap="1" wp14:anchorId="6D4F1C56" wp14:editId="0EFF0CD3">
                <wp:simplePos x="0" y="0"/>
                <wp:positionH relativeFrom="column">
                  <wp:posOffset>5972175</wp:posOffset>
                </wp:positionH>
                <wp:positionV relativeFrom="paragraph">
                  <wp:posOffset>106680</wp:posOffset>
                </wp:positionV>
                <wp:extent cx="304800" cy="22860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972" w:rsidRPr="00B95A2A" w:rsidRDefault="00B30972">
                            <w:pPr>
                              <w:rPr>
                                <w:sz w:val="22"/>
                                <w:szCs w:val="22"/>
                              </w:rPr>
                            </w:pPr>
                            <w:r w:rsidRPr="00B95A2A">
                              <w:rPr>
                                <w:sz w:val="22"/>
                                <w:szCs w:val="22"/>
                              </w:rPr>
                              <w:t>(</w:t>
                            </w:r>
                            <w:r w:rsidR="00D1457E">
                              <w:rPr>
                                <w:sz w:val="22"/>
                                <w:szCs w:val="22"/>
                              </w:rPr>
                              <w:t>D</w:t>
                            </w:r>
                            <w:r w:rsidRPr="00B95A2A">
                              <w:rPr>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470.25pt;margin-top:8.4pt;width:2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lCrw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" filled="f" stroked="f">
                <v:textbox inset="0,0,0,0">
                  <w:txbxContent>
                    <w:p w:rsidR="00B30972" w:rsidRPr="00B95A2A" w:rsidRDefault="00B30972">
                      <w:pPr>
                        <w:rPr>
                          <w:sz w:val="22"/>
                          <w:szCs w:val="22"/>
                        </w:rPr>
                      </w:pPr>
                      <w:r w:rsidRPr="00B95A2A">
                        <w:rPr>
                          <w:sz w:val="22"/>
                          <w:szCs w:val="22"/>
                        </w:rPr>
                        <w:t>(</w:t>
                      </w:r>
                      <w:r w:rsidR="00D1457E">
                        <w:rPr>
                          <w:sz w:val="22"/>
                          <w:szCs w:val="22"/>
                        </w:rPr>
                        <w:t>D</w:t>
                      </w:r>
                      <w:r w:rsidRPr="00B95A2A">
                        <w:rPr>
                          <w:sz w:val="22"/>
                          <w:szCs w:val="22"/>
                        </w:rPr>
                        <w:t>)</w:t>
                      </w:r>
                    </w:p>
                  </w:txbxContent>
                </v:textbox>
              </v:shape>
            </w:pict>
          </mc:Fallback>
        </mc:AlternateContent>
      </w:r>
    </w:p>
    <w:p w:rsidR="00A021F5" w:rsidRPr="004403C9" w:rsidRDefault="00A021F5">
      <w:pPr>
        <w:numPr>
          <w:ilvl w:val="0"/>
          <w:numId w:val="1"/>
        </w:numPr>
        <w:rPr>
          <w:sz w:val="22"/>
          <w:szCs w:val="22"/>
        </w:rPr>
      </w:pPr>
      <w:r w:rsidRPr="004403C9">
        <w:rPr>
          <w:sz w:val="22"/>
          <w:szCs w:val="22"/>
        </w:rPr>
        <w:t>Specific Promotion</w:t>
      </w:r>
    </w:p>
    <w:p w:rsidR="00A021F5" w:rsidRPr="004403C9" w:rsidRDefault="00A021F5">
      <w:pPr>
        <w:ind w:left="1080"/>
        <w:rPr>
          <w:sz w:val="22"/>
          <w:szCs w:val="22"/>
        </w:rPr>
      </w:pPr>
    </w:p>
    <w:p w:rsidR="00B30972" w:rsidRDefault="00B30972" w:rsidP="00B30972">
      <w:pPr>
        <w:tabs>
          <w:tab w:val="left" w:pos="1800"/>
        </w:tabs>
        <w:ind w:left="1080"/>
        <w:rPr>
          <w:color w:val="1F497D"/>
        </w:rPr>
      </w:pPr>
      <w:r>
        <w:rPr>
          <w:color w:val="1F497D"/>
        </w:rPr>
        <w:t xml:space="preserve">  </w:t>
      </w:r>
    </w:p>
    <w:p w:rsidR="00B30972" w:rsidRDefault="00B30972" w:rsidP="00B30972">
      <w:pPr>
        <w:ind w:left="1440"/>
        <w:rPr>
          <w:sz w:val="22"/>
          <w:szCs w:val="22"/>
        </w:rPr>
      </w:pPr>
    </w:p>
    <w:p w:rsidR="00B30972" w:rsidRDefault="00B30972" w:rsidP="00B30972">
      <w:pPr>
        <w:ind w:left="1440"/>
        <w:rPr>
          <w:sz w:val="22"/>
          <w:szCs w:val="22"/>
        </w:rPr>
      </w:pPr>
    </w:p>
    <w:p w:rsidR="00B30972" w:rsidRDefault="00B30972" w:rsidP="00B30972">
      <w:pPr>
        <w:ind w:left="1440"/>
        <w:rPr>
          <w:sz w:val="22"/>
          <w:szCs w:val="22"/>
        </w:rPr>
      </w:pPr>
      <w:bookmarkStart w:id="0" w:name="_GoBack"/>
      <w:bookmarkEnd w:id="0"/>
    </w:p>
    <w:p w:rsidR="00B30972" w:rsidRDefault="00B30972" w:rsidP="00B30972">
      <w:pPr>
        <w:ind w:left="1440"/>
        <w:rPr>
          <w:sz w:val="22"/>
          <w:szCs w:val="22"/>
        </w:rPr>
      </w:pPr>
    </w:p>
    <w:p w:rsidR="00B30972" w:rsidRDefault="00B30972" w:rsidP="00B30972">
      <w:pPr>
        <w:ind w:left="1440"/>
        <w:rPr>
          <w:sz w:val="22"/>
          <w:szCs w:val="22"/>
        </w:rPr>
      </w:pPr>
    </w:p>
    <w:p w:rsidR="00B30972" w:rsidRDefault="00B30972" w:rsidP="00B30972">
      <w:pPr>
        <w:ind w:left="1440"/>
        <w:rPr>
          <w:sz w:val="22"/>
          <w:szCs w:val="22"/>
        </w:rPr>
      </w:pPr>
    </w:p>
    <w:p w:rsidR="00B30972" w:rsidRDefault="00B30972" w:rsidP="00B30972">
      <w:pPr>
        <w:ind w:left="1440"/>
        <w:rPr>
          <w:sz w:val="22"/>
          <w:szCs w:val="22"/>
        </w:rPr>
      </w:pPr>
    </w:p>
    <w:p w:rsidR="00B30972" w:rsidRDefault="00B30972" w:rsidP="00B30972">
      <w:pPr>
        <w:ind w:left="1440"/>
        <w:rPr>
          <w:sz w:val="22"/>
          <w:szCs w:val="22"/>
        </w:rPr>
      </w:pPr>
    </w:p>
    <w:p w:rsidR="004403C9" w:rsidRPr="004403C9" w:rsidRDefault="004403C9" w:rsidP="00B30972">
      <w:pPr>
        <w:ind w:left="1440"/>
        <w:rPr>
          <w:sz w:val="22"/>
          <w:szCs w:val="22"/>
        </w:rPr>
      </w:pPr>
      <w:r w:rsidRPr="004403C9">
        <w:rPr>
          <w:sz w:val="22"/>
          <w:szCs w:val="22"/>
        </w:rPr>
        <w:t xml:space="preserve"> </w:t>
      </w:r>
    </w:p>
    <w:p w:rsidR="00A021F5" w:rsidRDefault="00A021F5"/>
    <w:p w:rsidR="00751ADA" w:rsidRDefault="00751ADA"/>
    <w:p w:rsidR="00751ADA" w:rsidRDefault="00751ADA"/>
    <w:p w:rsidR="00751ADA" w:rsidRDefault="00751ADA"/>
    <w:p w:rsidR="00751ADA" w:rsidRDefault="00751ADA"/>
    <w:p w:rsidR="00751ADA" w:rsidRDefault="00751ADA"/>
    <w:p w:rsidR="00751ADA" w:rsidRDefault="00751ADA"/>
    <w:p w:rsidR="00D1457E" w:rsidRDefault="00D1457E"/>
    <w:p w:rsidR="00D1457E" w:rsidRDefault="00D1457E"/>
    <w:p w:rsidR="00D1457E" w:rsidRDefault="00D1457E"/>
    <w:p w:rsidR="00D1457E" w:rsidRDefault="00D1457E"/>
    <w:p w:rsidR="00A021F5" w:rsidRPr="00D1457E" w:rsidRDefault="00751ADA">
      <w:pPr>
        <w:rPr>
          <w:sz w:val="22"/>
          <w:szCs w:val="22"/>
        </w:rPr>
      </w:pPr>
      <w:r w:rsidRPr="00D1457E">
        <w:rPr>
          <w:noProof/>
          <w:sz w:val="22"/>
          <w:szCs w:val="22"/>
        </w:rPr>
        <mc:AlternateContent>
          <mc:Choice Requires="wps">
            <w:drawing>
              <wp:anchor distT="0" distB="0" distL="114300" distR="114300" simplePos="0" relativeHeight="251656192" behindDoc="0" locked="0" layoutInCell="1" allowOverlap="1" wp14:anchorId="5B1895A7" wp14:editId="593219B5">
                <wp:simplePos x="0" y="0"/>
                <wp:positionH relativeFrom="column">
                  <wp:posOffset>38100</wp:posOffset>
                </wp:positionH>
                <wp:positionV relativeFrom="paragraph">
                  <wp:posOffset>412750</wp:posOffset>
                </wp:positionV>
                <wp:extent cx="5981700" cy="0"/>
                <wp:effectExtent l="0" t="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2.5pt" to="47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5R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8+w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"/>
            </w:pict>
          </mc:Fallback>
        </mc:AlternateContent>
      </w:r>
      <w:r w:rsidR="00D1457E" w:rsidRPr="00D1457E">
        <w:rPr>
          <w:sz w:val="22"/>
          <w:szCs w:val="22"/>
        </w:rPr>
        <w:t>(D) Delete</w:t>
      </w:r>
    </w:p>
    <w:sectPr w:rsidR="00A021F5" w:rsidRPr="00D1457E" w:rsidSect="00CC443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972" w:rsidRDefault="00B30972">
      <w:r>
        <w:separator/>
      </w:r>
    </w:p>
  </w:endnote>
  <w:endnote w:type="continuationSeparator" w:id="0">
    <w:p w:rsidR="00B30972" w:rsidRDefault="00B3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972" w:rsidRPr="004403C9" w:rsidRDefault="00B30972" w:rsidP="004403C9">
    <w:pPr>
      <w:pStyle w:val="Footer"/>
      <w:tabs>
        <w:tab w:val="clear" w:pos="8640"/>
        <w:tab w:val="right" w:pos="9360"/>
      </w:tabs>
      <w:rPr>
        <w:sz w:val="22"/>
        <w:szCs w:val="22"/>
      </w:rPr>
    </w:pPr>
    <w:r w:rsidRPr="004403C9">
      <w:rPr>
        <w:sz w:val="22"/>
        <w:szCs w:val="22"/>
      </w:rPr>
      <w:t xml:space="preserve">Issued: </w:t>
    </w:r>
    <w:r w:rsidR="00D1457E">
      <w:rPr>
        <w:sz w:val="22"/>
        <w:szCs w:val="22"/>
      </w:rPr>
      <w:t>February 28, 2014</w:t>
    </w:r>
    <w:r w:rsidRPr="004403C9">
      <w:rPr>
        <w:sz w:val="22"/>
        <w:szCs w:val="22"/>
      </w:rPr>
      <w:tab/>
    </w:r>
    <w:r w:rsidRPr="004403C9">
      <w:rPr>
        <w:sz w:val="22"/>
        <w:szCs w:val="22"/>
      </w:rPr>
      <w:tab/>
      <w:t xml:space="preserve">Effective: </w:t>
    </w:r>
    <w:r w:rsidR="00D1457E">
      <w:rPr>
        <w:sz w:val="22"/>
        <w:szCs w:val="22"/>
      </w:rPr>
      <w:t>April 1, 2014</w:t>
    </w:r>
  </w:p>
  <w:p w:rsidR="00B30972" w:rsidRPr="004403C9" w:rsidRDefault="00B30972">
    <w:pPr>
      <w:pStyle w:val="Footer"/>
      <w:rPr>
        <w:sz w:val="22"/>
        <w:szCs w:val="22"/>
      </w:rPr>
    </w:pPr>
    <w:r w:rsidRPr="004403C9">
      <w:rPr>
        <w:sz w:val="22"/>
        <w:szCs w:val="22"/>
      </w:rPr>
      <w:t>Issued By:</w:t>
    </w:r>
    <w:r w:rsidRPr="004403C9">
      <w:rPr>
        <w:sz w:val="22"/>
        <w:szCs w:val="22"/>
      </w:rPr>
      <w:tab/>
    </w:r>
  </w:p>
  <w:p w:rsidR="00B30972" w:rsidRPr="004403C9" w:rsidRDefault="00B30972" w:rsidP="004403C9">
    <w:pPr>
      <w:pStyle w:val="Footer"/>
      <w:tabs>
        <w:tab w:val="clear" w:pos="4320"/>
        <w:tab w:val="center" w:pos="4410"/>
      </w:tabs>
      <w:rPr>
        <w:sz w:val="22"/>
        <w:szCs w:val="22"/>
      </w:rPr>
    </w:pPr>
    <w:r w:rsidRPr="004403C9">
      <w:rPr>
        <w:sz w:val="22"/>
        <w:szCs w:val="22"/>
      </w:rPr>
      <w:tab/>
    </w:r>
    <w:r w:rsidR="00D1457E">
      <w:rPr>
        <w:sz w:val="22"/>
        <w:szCs w:val="22"/>
      </w:rPr>
      <w:t>Jason Ross</w:t>
    </w:r>
    <w:r w:rsidRPr="004403C9">
      <w:rPr>
        <w:sz w:val="22"/>
        <w:szCs w:val="22"/>
      </w:rPr>
      <w:t>, Vice President-</w:t>
    </w:r>
    <w:r w:rsidR="00D1457E">
      <w:rPr>
        <w:sz w:val="22"/>
        <w:szCs w:val="22"/>
      </w:rPr>
      <w:t>Legal</w:t>
    </w:r>
  </w:p>
  <w:p w:rsidR="00B30972" w:rsidRPr="004403C9" w:rsidRDefault="00B30972" w:rsidP="004403C9">
    <w:pPr>
      <w:pStyle w:val="Footer"/>
      <w:tabs>
        <w:tab w:val="clear" w:pos="4320"/>
        <w:tab w:val="center" w:pos="4410"/>
      </w:tabs>
      <w:rPr>
        <w:sz w:val="22"/>
        <w:szCs w:val="22"/>
      </w:rPr>
    </w:pPr>
    <w:r w:rsidRPr="004403C9">
      <w:rPr>
        <w:sz w:val="22"/>
        <w:szCs w:val="22"/>
      </w:rPr>
      <w:tab/>
      <w:t>Fidelity Communications Services I, Inc.</w:t>
    </w:r>
  </w:p>
  <w:p w:rsidR="00B30972" w:rsidRPr="004403C9" w:rsidRDefault="00B30972" w:rsidP="004403C9">
    <w:pPr>
      <w:pStyle w:val="Footer"/>
      <w:tabs>
        <w:tab w:val="clear" w:pos="4320"/>
        <w:tab w:val="center" w:pos="4410"/>
      </w:tabs>
      <w:rPr>
        <w:sz w:val="22"/>
        <w:szCs w:val="22"/>
      </w:rPr>
    </w:pPr>
    <w:r w:rsidRPr="004403C9">
      <w:rPr>
        <w:sz w:val="22"/>
        <w:szCs w:val="22"/>
      </w:rPr>
      <w:tab/>
      <w:t>64 N. Clark</w:t>
    </w:r>
  </w:p>
  <w:p w:rsidR="00B30972" w:rsidRPr="004403C9" w:rsidRDefault="00B30972" w:rsidP="004403C9">
    <w:pPr>
      <w:pStyle w:val="Footer"/>
      <w:tabs>
        <w:tab w:val="clear" w:pos="4320"/>
        <w:tab w:val="center" w:pos="4410"/>
      </w:tabs>
      <w:rPr>
        <w:sz w:val="22"/>
        <w:szCs w:val="22"/>
      </w:rPr>
    </w:pPr>
    <w:r w:rsidRPr="004403C9">
      <w:rPr>
        <w:sz w:val="22"/>
        <w:szCs w:val="22"/>
      </w:rPr>
      <w:tab/>
      <w:t>Sullivan, MO 63080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972" w:rsidRDefault="00B30972">
      <w:r>
        <w:separator/>
      </w:r>
    </w:p>
  </w:footnote>
  <w:footnote w:type="continuationSeparator" w:id="0">
    <w:p w:rsidR="00B30972" w:rsidRDefault="00B30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972" w:rsidRPr="004403C9" w:rsidRDefault="00B30972" w:rsidP="004403C9">
    <w:pPr>
      <w:pStyle w:val="Header"/>
      <w:tabs>
        <w:tab w:val="clear" w:pos="8640"/>
        <w:tab w:val="right" w:pos="9360"/>
      </w:tabs>
      <w:rPr>
        <w:sz w:val="22"/>
        <w:szCs w:val="22"/>
      </w:rPr>
    </w:pPr>
    <w:r w:rsidRPr="004403C9">
      <w:rPr>
        <w:sz w:val="22"/>
        <w:szCs w:val="22"/>
      </w:rPr>
      <w:t>FIDELITY COMMUNICATIONS SERVICES I, Inc.</w:t>
    </w:r>
    <w:r w:rsidRPr="004403C9">
      <w:rPr>
        <w:sz w:val="22"/>
        <w:szCs w:val="22"/>
      </w:rPr>
      <w:tab/>
      <w:t>PSC MO. No. 1</w:t>
    </w:r>
  </w:p>
  <w:p w:rsidR="00B30972" w:rsidRPr="004403C9" w:rsidRDefault="00B30972" w:rsidP="004403C9">
    <w:pPr>
      <w:pStyle w:val="Header"/>
      <w:tabs>
        <w:tab w:val="clear" w:pos="8640"/>
        <w:tab w:val="right" w:pos="9360"/>
      </w:tabs>
      <w:rPr>
        <w:sz w:val="22"/>
        <w:szCs w:val="22"/>
      </w:rPr>
    </w:pPr>
    <w:r w:rsidRPr="004403C9">
      <w:rPr>
        <w:sz w:val="22"/>
        <w:szCs w:val="22"/>
      </w:rPr>
      <w:tab/>
    </w:r>
    <w:r w:rsidRPr="004403C9">
      <w:rPr>
        <w:sz w:val="22"/>
        <w:szCs w:val="22"/>
      </w:rPr>
      <w:tab/>
      <w:t>Section 29</w:t>
    </w:r>
  </w:p>
  <w:p w:rsidR="00B30972" w:rsidRPr="004403C9" w:rsidRDefault="00B30972" w:rsidP="004403C9">
    <w:pPr>
      <w:pStyle w:val="Header"/>
      <w:tabs>
        <w:tab w:val="clear" w:pos="8640"/>
        <w:tab w:val="right" w:pos="9360"/>
      </w:tabs>
      <w:rPr>
        <w:sz w:val="22"/>
        <w:szCs w:val="22"/>
      </w:rPr>
    </w:pPr>
    <w:r w:rsidRPr="004403C9">
      <w:rPr>
        <w:sz w:val="22"/>
        <w:szCs w:val="22"/>
      </w:rPr>
      <w:tab/>
    </w:r>
    <w:r w:rsidRPr="004403C9">
      <w:rPr>
        <w:sz w:val="22"/>
        <w:szCs w:val="22"/>
      </w:rPr>
      <w:tab/>
    </w:r>
    <w:r w:rsidR="00D1457E">
      <w:rPr>
        <w:sz w:val="22"/>
        <w:szCs w:val="22"/>
      </w:rPr>
      <w:t>20</w:t>
    </w:r>
    <w:r w:rsidRPr="004403C9">
      <w:rPr>
        <w:sz w:val="22"/>
        <w:szCs w:val="22"/>
        <w:vertAlign w:val="superscript"/>
      </w:rPr>
      <w:t>th</w:t>
    </w:r>
    <w:r w:rsidRPr="004403C9">
      <w:rPr>
        <w:sz w:val="22"/>
        <w:szCs w:val="22"/>
      </w:rPr>
      <w:t xml:space="preserve"> Revised Sheet 1</w:t>
    </w:r>
  </w:p>
  <w:p w:rsidR="00B30972" w:rsidRPr="004403C9" w:rsidRDefault="00B30972" w:rsidP="004403C9">
    <w:pPr>
      <w:pStyle w:val="Header"/>
      <w:tabs>
        <w:tab w:val="clear" w:pos="8640"/>
        <w:tab w:val="right" w:pos="9360"/>
      </w:tabs>
      <w:rPr>
        <w:sz w:val="22"/>
        <w:szCs w:val="22"/>
      </w:rPr>
    </w:pPr>
    <w:r w:rsidRPr="004403C9">
      <w:rPr>
        <w:sz w:val="22"/>
        <w:szCs w:val="22"/>
      </w:rPr>
      <w:tab/>
    </w:r>
    <w:r w:rsidRPr="004403C9">
      <w:rPr>
        <w:sz w:val="22"/>
        <w:szCs w:val="22"/>
      </w:rPr>
      <w:tab/>
      <w:t>Cancels 1</w:t>
    </w:r>
    <w:r w:rsidR="00D1457E">
      <w:rPr>
        <w:sz w:val="22"/>
        <w:szCs w:val="22"/>
      </w:rPr>
      <w:t>9</w:t>
    </w:r>
    <w:r w:rsidRPr="004403C9">
      <w:rPr>
        <w:sz w:val="22"/>
        <w:szCs w:val="22"/>
        <w:vertAlign w:val="superscript"/>
      </w:rPr>
      <w:t>th</w:t>
    </w:r>
    <w:r w:rsidRPr="004403C9">
      <w:rPr>
        <w:sz w:val="22"/>
        <w:szCs w:val="22"/>
      </w:rPr>
      <w:t xml:space="preserve"> Revised Sheet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A0241"/>
    <w:multiLevelType w:val="hybridMultilevel"/>
    <w:tmpl w:val="31CCAA20"/>
    <w:lvl w:ilvl="0" w:tplc="513AA5A4">
      <w:start w:val="1"/>
      <w:numFmt w:val="upperLetter"/>
      <w:lvlText w:val="%1."/>
      <w:lvlJc w:val="left"/>
      <w:pPr>
        <w:tabs>
          <w:tab w:val="num" w:pos="1080"/>
        </w:tabs>
        <w:ind w:left="1080" w:hanging="720"/>
      </w:pPr>
      <w:rPr>
        <w:rFonts w:hint="default"/>
      </w:rPr>
    </w:lvl>
    <w:lvl w:ilvl="1" w:tplc="FD38DFE2">
      <w:start w:val="1"/>
      <w:numFmt w:val="decimal"/>
      <w:lvlText w:val="%2."/>
      <w:lvlJc w:val="left"/>
      <w:pPr>
        <w:tabs>
          <w:tab w:val="num" w:pos="2160"/>
        </w:tabs>
        <w:ind w:left="2160" w:hanging="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B62"/>
    <w:rsid w:val="00056E2A"/>
    <w:rsid w:val="00077B57"/>
    <w:rsid w:val="001C46C0"/>
    <w:rsid w:val="00223B62"/>
    <w:rsid w:val="00225E00"/>
    <w:rsid w:val="00272747"/>
    <w:rsid w:val="00417534"/>
    <w:rsid w:val="00423192"/>
    <w:rsid w:val="004403C9"/>
    <w:rsid w:val="00476C10"/>
    <w:rsid w:val="005073AB"/>
    <w:rsid w:val="0053474D"/>
    <w:rsid w:val="005A4B9F"/>
    <w:rsid w:val="00641EFF"/>
    <w:rsid w:val="006604E4"/>
    <w:rsid w:val="006A5877"/>
    <w:rsid w:val="006D75A1"/>
    <w:rsid w:val="00742B08"/>
    <w:rsid w:val="00751ADA"/>
    <w:rsid w:val="00817141"/>
    <w:rsid w:val="00864356"/>
    <w:rsid w:val="0088068C"/>
    <w:rsid w:val="00A021F5"/>
    <w:rsid w:val="00A2687F"/>
    <w:rsid w:val="00B30972"/>
    <w:rsid w:val="00B95A2A"/>
    <w:rsid w:val="00BA13EC"/>
    <w:rsid w:val="00CC4435"/>
    <w:rsid w:val="00D1457E"/>
    <w:rsid w:val="00D9301B"/>
    <w:rsid w:val="00DF043B"/>
    <w:rsid w:val="00F84A75"/>
    <w:rsid w:val="00FC6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435"/>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4435"/>
    <w:pPr>
      <w:tabs>
        <w:tab w:val="center" w:pos="4320"/>
        <w:tab w:val="right" w:pos="8640"/>
      </w:tabs>
    </w:pPr>
  </w:style>
  <w:style w:type="paragraph" w:styleId="Footer">
    <w:name w:val="footer"/>
    <w:basedOn w:val="Normal"/>
    <w:rsid w:val="00CC4435"/>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435"/>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4435"/>
    <w:pPr>
      <w:tabs>
        <w:tab w:val="center" w:pos="4320"/>
        <w:tab w:val="right" w:pos="8640"/>
      </w:tabs>
    </w:pPr>
  </w:style>
  <w:style w:type="paragraph" w:styleId="Footer">
    <w:name w:val="footer"/>
    <w:basedOn w:val="Normal"/>
    <w:rsid w:val="00CC44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5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PROMOTIONS</vt:lpstr>
    </vt:vector>
  </TitlesOfParts>
  <Company>Fidelity Communications</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PROMOTIONS</dc:title>
  <dc:creator>chrisn</dc:creator>
  <cp:lastModifiedBy>JLT376</cp:lastModifiedBy>
  <cp:revision>3</cp:revision>
  <cp:lastPrinted>2011-01-28T17:08:00Z</cp:lastPrinted>
  <dcterms:created xsi:type="dcterms:W3CDTF">2014-02-28T21:44:00Z</dcterms:created>
  <dcterms:modified xsi:type="dcterms:W3CDTF">2014-02-28T21:45:00Z</dcterms:modified>
</cp:coreProperties>
</file>