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sz w:val="76"/>
          <w:szCs w:val="72"/>
          <w:lang w:eastAsia="en-US"/>
        </w:rPr>
        <w:id w:val="-111517272"/>
        <w:docPartObj>
          <w:docPartGallery w:val="Cover Pages"/>
          <w:docPartUnique/>
        </w:docPartObj>
      </w:sdtPr>
      <w:sdtEndPr>
        <w:rPr>
          <w:rFonts w:ascii="Times New Roman" w:eastAsia="Times New Roman" w:hAnsi="Times New Roman" w:cs="Times New Roman"/>
          <w:sz w:val="24"/>
          <w:szCs w:val="24"/>
        </w:rPr>
      </w:sdtEndPr>
      <w:sdtContent>
        <w:tbl>
          <w:tblPr>
            <w:tblpPr w:leftFromText="187" w:rightFromText="187" w:vertAnchor="page" w:horzAnchor="page" w:tblpXSpec="center" w:tblpYSpec="center"/>
            <w:tblW w:w="5000" w:type="pct"/>
            <w:tblLayout w:type="fixed"/>
            <w:tblCellMar>
              <w:top w:w="216" w:type="dxa"/>
              <w:left w:w="216" w:type="dxa"/>
              <w:bottom w:w="216" w:type="dxa"/>
              <w:right w:w="216" w:type="dxa"/>
            </w:tblCellMar>
            <w:tblLook w:val="04A0" w:firstRow="1" w:lastRow="0" w:firstColumn="1" w:lastColumn="0" w:noHBand="0" w:noVBand="1"/>
          </w:tblPr>
          <w:tblGrid>
            <w:gridCol w:w="5256"/>
            <w:gridCol w:w="1824"/>
            <w:gridCol w:w="2352"/>
          </w:tblGrid>
          <w:tr w:rsidR="0020379D" w:rsidTr="00FE668B">
            <w:tc>
              <w:tcPr>
                <w:tcW w:w="5256" w:type="dxa"/>
                <w:tcBorders>
                  <w:bottom w:val="single" w:sz="18" w:space="0" w:color="808080" w:themeColor="background1" w:themeShade="80"/>
                  <w:right w:val="single" w:sz="18" w:space="0" w:color="808080" w:themeColor="background1" w:themeShade="80"/>
                </w:tcBorders>
                <w:vAlign w:val="center"/>
              </w:tcPr>
              <w:p w:rsidR="0020379D" w:rsidRDefault="00AA331E" w:rsidP="0020379D">
                <w:pPr>
                  <w:pStyle w:val="NoSpacing"/>
                  <w:rPr>
                    <w:rFonts w:asciiTheme="majorHAnsi" w:eastAsiaTheme="majorEastAsia" w:hAnsiTheme="majorHAnsi" w:cstheme="majorBidi"/>
                    <w:sz w:val="76"/>
                    <w:szCs w:val="72"/>
                  </w:rPr>
                </w:pPr>
                <w:sdt>
                  <w:sdtPr>
                    <w:rPr>
                      <w:rFonts w:asciiTheme="majorHAnsi" w:eastAsiaTheme="majorEastAsia" w:hAnsiTheme="majorHAnsi" w:cstheme="majorBidi"/>
                      <w:sz w:val="76"/>
                      <w:szCs w:val="72"/>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D26D77">
                      <w:rPr>
                        <w:rFonts w:asciiTheme="majorHAnsi" w:eastAsiaTheme="majorEastAsia" w:hAnsiTheme="majorHAnsi" w:cstheme="majorBidi"/>
                        <w:sz w:val="76"/>
                        <w:szCs w:val="72"/>
                      </w:rPr>
                      <w:t>ALGONQUIN POWER &amp; UTILITIES CORP.   DIRECT CHARGE AND COST ALLOCATIONS MANUAL</w:t>
                    </w:r>
                  </w:sdtContent>
                </w:sdt>
              </w:p>
            </w:tc>
            <w:tc>
              <w:tcPr>
                <w:tcW w:w="4176" w:type="dxa"/>
                <w:gridSpan w:val="2"/>
                <w:tcBorders>
                  <w:left w:val="single" w:sz="18" w:space="0" w:color="808080" w:themeColor="background1" w:themeShade="80"/>
                  <w:bottom w:val="single" w:sz="18" w:space="0" w:color="808080" w:themeColor="background1" w:themeShade="80"/>
                </w:tcBorders>
              </w:tcPr>
              <w:p w:rsidR="00DC36A7" w:rsidRDefault="00DC36A7" w:rsidP="00FE668B">
                <w:pPr>
                  <w:pStyle w:val="NoSpacing"/>
                  <w:ind w:left="54"/>
                  <w:rPr>
                    <w:rFonts w:asciiTheme="majorHAnsi" w:eastAsiaTheme="majorEastAsia" w:hAnsiTheme="majorHAnsi" w:cstheme="majorBidi"/>
                    <w:sz w:val="36"/>
                    <w:szCs w:val="36"/>
                  </w:rPr>
                </w:pPr>
              </w:p>
              <w:p w:rsidR="00AC0D99" w:rsidRDefault="00FE668B" w:rsidP="00FE668B">
                <w:pPr>
                  <w:pStyle w:val="NoSpacing"/>
                  <w:ind w:left="54"/>
                  <w:rPr>
                    <w:rFonts w:asciiTheme="majorHAnsi" w:eastAsiaTheme="majorEastAsia" w:hAnsiTheme="majorHAnsi" w:cstheme="majorBidi"/>
                    <w:sz w:val="36"/>
                    <w:szCs w:val="36"/>
                  </w:rPr>
                </w:pPr>
                <w:r>
                  <w:rPr>
                    <w:rFonts w:asciiTheme="majorHAnsi" w:eastAsiaTheme="majorEastAsia" w:hAnsiTheme="majorHAnsi" w:cstheme="majorBidi"/>
                    <w:noProof/>
                    <w:sz w:val="36"/>
                    <w:szCs w:val="36"/>
                    <w:lang w:eastAsia="en-US"/>
                  </w:rPr>
                  <w:drawing>
                    <wp:inline distT="0" distB="0" distL="0" distR="0">
                      <wp:extent cx="1752600" cy="599335"/>
                      <wp:effectExtent l="0" t="0" r="0" b="0"/>
                      <wp:docPr id="51" name="Picture 51" descr="C:\Users\peichler\Pictures\top_nav_r1_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Users\peichler\Pictures\top_nav_r1_c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599335"/>
                              </a:xfrm>
                              <a:prstGeom prst="rect">
                                <a:avLst/>
                              </a:prstGeom>
                              <a:noFill/>
                              <a:ln>
                                <a:noFill/>
                              </a:ln>
                            </pic:spPr>
                          </pic:pic>
                        </a:graphicData>
                      </a:graphic>
                    </wp:inline>
                  </w:drawing>
                </w:r>
              </w:p>
              <w:p w:rsidR="00DC36A7" w:rsidRDefault="00AA331E" w:rsidP="00FE668B">
                <w:pPr>
                  <w:pStyle w:val="NoSpacing"/>
                  <w:ind w:left="360"/>
                  <w:rPr>
                    <w:rFonts w:asciiTheme="majorHAnsi" w:eastAsiaTheme="majorEastAsia" w:hAnsiTheme="majorHAnsi" w:cstheme="majorBidi"/>
                    <w:sz w:val="36"/>
                    <w:szCs w:val="36"/>
                  </w:rPr>
                </w:pPr>
                <w:r>
                  <w:rPr>
                    <w:noProof/>
                    <w:lang w:eastAsia="en-US"/>
                  </w:rPr>
                  <w:pict>
                    <v:group id="Group 38" o:spid="_x0000_s1026" style="position:absolute;left:0;text-align:left;margin-left:.65pt;margin-top:15.85pt;width:139.5pt;height:39.75pt;z-index:251668480;mso-width-relative:margin;mso-height-relative:margin" coordsize="36814,83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">
                      <v:shape id="Picture 54" o:spid="_x0000_s1027" type="#_x0000_t75" alt="logo_Alonquin_symbol" style="position:absolute;width:8699;height:83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ZejLEAAAA2wAAAA8AAABkcnMvZG93bnJldi54bWxEj0FrwkAUhO+F/oflFbw1mxa1beoqVRQ8&#10;CdoiHh/Z12za7NuQXZPor3cFweMwM98wk1lvK9FS40vHCl6SFARx7nTJhYKf79XzOwgfkDVWjknB&#10;iTzMpo8PE8y063hL7S4UIkLYZ6jAhFBnUvrckEWfuJo4er+usRiibAqpG+wi3FbyNU3H0mLJccFg&#10;TQtD+f/uaBW8fRy6wu3tvP2j0dYs++GZNmulBk/91yeIQH24h2/ttVYwGsL1S/wBcno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GZejLEAAAA2wAAAA8AAAAAAAAAAAAAAAAA&#10;nwIAAGRycy9kb3ducmV2LnhtbFBLBQYAAAAABAAEAPcAAACQAwAAAAA=&#10;">
                        <v:imagedata r:id="rId13" o:title="logo_Alonquin_symbol"/>
                      </v:shape>
                      <v:shape id="Picture 55" o:spid="_x0000_s1028" type="#_x0000_t75" alt="logo_algonquin_name" style="position:absolute;left:8858;top:1047;width:27956;height:67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hiwrFAAAA2wAAAA8AAABkcnMvZG93bnJldi54bWxEj91qAjEUhO+FvkM4BW9KN6vUn65GEWmx&#10;Ny247QMcNmd/cHOyblI3vr0pFLwcZuYbZr0NphUX6l1jWcEkSUEQF1Y3XCn4+X5/XoJwHllja5kU&#10;XMnBdvMwWmOm7cBHuuS+EhHCLkMFtfddJqUrajLoEtsRR6+0vUEfZV9J3eMQ4aaV0zSdS4MNx4Ua&#10;O9rXVJzyX6Pg3Mw/w/D19DbJw67MX+mweFkelBo/ht0KhKfg7+H/9odWMJvB35f4A+Tm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h4YsKxQAAANsAAAAPAAAAAAAAAAAAAAAA&#10;AJ8CAABkcnMvZG93bnJldi54bWxQSwUGAAAAAAQABAD3AAAAkQMAAAAA&#10;">
                        <v:imagedata r:id="rId14" o:title="logo_algonquin_name"/>
                      </v:shape>
                    </v:group>
                  </w:pict>
                </w:r>
              </w:p>
              <w:p w:rsidR="0020379D" w:rsidRDefault="0020379D" w:rsidP="00FE668B">
                <w:pPr>
                  <w:pStyle w:val="NoSpacing"/>
                  <w:ind w:left="360"/>
                  <w:rPr>
                    <w:rFonts w:asciiTheme="majorHAnsi" w:eastAsiaTheme="majorEastAsia" w:hAnsiTheme="majorHAnsi" w:cstheme="majorBidi"/>
                    <w:sz w:val="36"/>
                    <w:szCs w:val="36"/>
                  </w:rPr>
                </w:pPr>
              </w:p>
              <w:p w:rsidR="00AC0D99" w:rsidRDefault="00AC0D99" w:rsidP="00FE668B">
                <w:pPr>
                  <w:pStyle w:val="NoSpacing"/>
                  <w:ind w:left="360"/>
                  <w:rPr>
                    <w:rFonts w:asciiTheme="majorHAnsi" w:eastAsiaTheme="majorEastAsia" w:hAnsiTheme="majorHAnsi" w:cstheme="majorBidi"/>
                    <w:sz w:val="36"/>
                    <w:szCs w:val="36"/>
                  </w:rPr>
                </w:pPr>
              </w:p>
              <w:p w:rsidR="00AC0D99" w:rsidRDefault="00AC0D99" w:rsidP="00FE668B">
                <w:pPr>
                  <w:pStyle w:val="NoSpacing"/>
                  <w:ind w:left="54"/>
                </w:pPr>
              </w:p>
              <w:p w:rsidR="00AC0D99" w:rsidRDefault="008D1C61" w:rsidP="00FE668B">
                <w:pPr>
                  <w:pStyle w:val="NoSpacing"/>
                  <w:ind w:left="54"/>
                </w:pPr>
                <w:r>
                  <w:rPr>
                    <w:noProof/>
                    <w:lang w:eastAsia="en-US"/>
                  </w:rPr>
                  <w:drawing>
                    <wp:inline distT="0" distB="0" distL="0" distR="0">
                      <wp:extent cx="2374265" cy="523875"/>
                      <wp:effectExtent l="0" t="0" r="6985" b="9525"/>
                      <wp:docPr id="4" name="Picture 4" descr="LU_T_H_RGB_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U_T_H_RGB_digita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74265" cy="523875"/>
                              </a:xfrm>
                              <a:prstGeom prst="rect">
                                <a:avLst/>
                              </a:prstGeom>
                              <a:noFill/>
                              <a:ln>
                                <a:noFill/>
                              </a:ln>
                            </pic:spPr>
                          </pic:pic>
                        </a:graphicData>
                      </a:graphic>
                    </wp:inline>
                  </w:drawing>
                </w:r>
              </w:p>
              <w:p w:rsidR="0020379D" w:rsidRDefault="00AC5398" w:rsidP="00FE668B">
                <w:pPr>
                  <w:pStyle w:val="NoSpacing"/>
                  <w:ind w:left="54"/>
                  <w:rPr>
                    <w:color w:val="4F81BD" w:themeColor="accent1"/>
                    <w:sz w:val="200"/>
                    <w:szCs w:val="200"/>
                  </w:rPr>
                </w:pPr>
                <w:r>
                  <w:rPr>
                    <w:noProof/>
                    <w:color w:val="4F81BD" w:themeColor="accent1"/>
                    <w:sz w:val="44"/>
                    <w:szCs w:val="44"/>
                    <w:lang w:eastAsia="en-US"/>
                  </w:rPr>
                  <w:t xml:space="preserve">      </w:t>
                </w:r>
              </w:p>
            </w:tc>
          </w:tr>
          <w:tr w:rsidR="0020379D" w:rsidTr="0020379D">
            <w:sdt>
              <w:sdtPr>
                <w:alias w:val="Abstract"/>
                <w:id w:val="276713183"/>
                <w:dataBinding w:prefixMappings="xmlns:ns0='http://schemas.microsoft.com/office/2006/coverPageProps'" w:xpath="/ns0:CoverPageProperties[1]/ns0:Abstract[1]" w:storeItemID="{55AF091B-3C7A-41E3-B477-F2FDAA23CFDA}"/>
                <w:text/>
              </w:sdtPr>
              <w:sdtEndPr/>
              <w:sdtContent>
                <w:tc>
                  <w:tcPr>
                    <w:tcW w:w="7080" w:type="dxa"/>
                    <w:gridSpan w:val="2"/>
                    <w:tcBorders>
                      <w:top w:val="single" w:sz="18" w:space="0" w:color="808080" w:themeColor="background1" w:themeShade="80"/>
                    </w:tcBorders>
                    <w:vAlign w:val="center"/>
                  </w:tcPr>
                  <w:p w:rsidR="0020379D" w:rsidRDefault="00D26D77" w:rsidP="00AB7AA4">
                    <w:pPr>
                      <w:pStyle w:val="NoSpacing"/>
                    </w:pPr>
                    <w:r>
                      <w:t>This document outlines the methods of direct charge and cost allocations:  (</w:t>
                    </w:r>
                    <w:proofErr w:type="spellStart"/>
                    <w:r>
                      <w:t>i</w:t>
                    </w:r>
                    <w:proofErr w:type="spellEnd"/>
                    <w:r>
                      <w:t>) between Algonquin Power &amp; Utilities Corp. and its affiliates Algonquin Power Company and Liberty Utilities (Canada) Corp.; (ii) between Liberty Utilities (Canada) Corp. and its regulated utility subsidiaries; and (iii) between Liberty Utilities (Canada) Corp.’s service companies and its regulated utility subsidiaries.</w:t>
                    </w:r>
                  </w:p>
                </w:tc>
              </w:sdtContent>
            </w:sdt>
            <w:tc>
              <w:tcPr>
                <w:tcW w:w="2352" w:type="dxa"/>
                <w:tcBorders>
                  <w:top w:val="single" w:sz="18" w:space="0" w:color="808080" w:themeColor="background1" w:themeShade="80"/>
                </w:tcBorders>
                <w:vAlign w:val="center"/>
              </w:tcPr>
              <w:p w:rsidR="0020379D" w:rsidRDefault="0020379D" w:rsidP="0020379D">
                <w:pPr>
                  <w:pStyle w:val="NoSpacing"/>
                  <w:rPr>
                    <w:rFonts w:asciiTheme="majorHAnsi" w:eastAsiaTheme="majorEastAsia" w:hAnsiTheme="majorHAnsi" w:cstheme="majorBidi"/>
                    <w:sz w:val="36"/>
                    <w:szCs w:val="36"/>
                  </w:rPr>
                </w:pPr>
              </w:p>
            </w:tc>
          </w:tr>
        </w:tbl>
        <w:p w:rsidR="0020379D" w:rsidRDefault="0020379D"/>
        <w:p w:rsidR="0020379D" w:rsidRPr="00690CBC" w:rsidRDefault="0020379D" w:rsidP="00690CBC">
          <w:pPr>
            <w:rPr>
              <w:rFonts w:asciiTheme="majorHAnsi" w:eastAsiaTheme="majorEastAsia" w:hAnsiTheme="majorHAnsi" w:cstheme="majorBidi"/>
              <w:b/>
              <w:bCs/>
              <w:color w:val="365F91" w:themeColor="accent1" w:themeShade="BF"/>
              <w:sz w:val="28"/>
              <w:szCs w:val="28"/>
            </w:rPr>
          </w:pPr>
          <w:r>
            <w:br w:type="page"/>
          </w:r>
        </w:p>
      </w:sdtContent>
    </w:sdt>
    <w:sdt>
      <w:sdtPr>
        <w:rPr>
          <w:rFonts w:ascii="Times New Roman" w:eastAsia="Times New Roman" w:hAnsi="Times New Roman" w:cs="Times New Roman"/>
          <w:b w:val="0"/>
          <w:bCs w:val="0"/>
          <w:color w:val="auto"/>
          <w:sz w:val="24"/>
          <w:szCs w:val="24"/>
          <w:lang w:eastAsia="en-US"/>
        </w:rPr>
        <w:id w:val="1156197139"/>
        <w:docPartObj>
          <w:docPartGallery w:val="Table of Contents"/>
          <w:docPartUnique/>
        </w:docPartObj>
      </w:sdtPr>
      <w:sdtEndPr>
        <w:rPr>
          <w:noProof/>
        </w:rPr>
      </w:sdtEndPr>
      <w:sdtContent>
        <w:p w:rsidR="003F7EA1" w:rsidRDefault="003F7EA1">
          <w:pPr>
            <w:pStyle w:val="TOCHeading"/>
          </w:pPr>
          <w:r>
            <w:t>Table of Contents</w:t>
          </w:r>
        </w:p>
        <w:p w:rsidR="003E18E4" w:rsidRDefault="00F21F84">
          <w:pPr>
            <w:pStyle w:val="TOC1"/>
            <w:tabs>
              <w:tab w:val="left" w:pos="440"/>
              <w:tab w:val="right" w:leader="dot" w:pos="8990"/>
            </w:tabs>
            <w:rPr>
              <w:rFonts w:asciiTheme="minorHAnsi" w:eastAsiaTheme="minorEastAsia" w:hAnsiTheme="minorHAnsi" w:cstheme="minorBidi"/>
              <w:noProof/>
              <w:sz w:val="22"/>
              <w:szCs w:val="22"/>
              <w:lang w:val="en-CA" w:eastAsia="en-CA"/>
            </w:rPr>
          </w:pPr>
          <w:r>
            <w:fldChar w:fldCharType="begin"/>
          </w:r>
          <w:r w:rsidR="003F7EA1">
            <w:instrText xml:space="preserve"> TOC \o "1-3" \h \z \u </w:instrText>
          </w:r>
          <w:r>
            <w:fldChar w:fldCharType="separate"/>
          </w:r>
          <w:hyperlink w:anchor="_Toc310250952" w:history="1">
            <w:r w:rsidR="003E18E4" w:rsidRPr="000A63EE">
              <w:rPr>
                <w:rStyle w:val="Hyperlink"/>
                <w:caps/>
                <w:noProof/>
              </w:rPr>
              <w:t>I.</w:t>
            </w:r>
            <w:r w:rsidR="003E18E4">
              <w:rPr>
                <w:rFonts w:asciiTheme="minorHAnsi" w:eastAsiaTheme="minorEastAsia" w:hAnsiTheme="minorHAnsi" w:cstheme="minorBidi"/>
                <w:noProof/>
                <w:sz w:val="22"/>
                <w:szCs w:val="22"/>
                <w:lang w:val="en-CA" w:eastAsia="en-CA"/>
              </w:rPr>
              <w:tab/>
            </w:r>
            <w:r w:rsidR="003E18E4" w:rsidRPr="000A63EE">
              <w:rPr>
                <w:rStyle w:val="Hyperlink"/>
                <w:caps/>
                <w:noProof/>
              </w:rPr>
              <w:t>Introduction</w:t>
            </w:r>
            <w:r w:rsidR="003E18E4">
              <w:rPr>
                <w:noProof/>
                <w:webHidden/>
              </w:rPr>
              <w:tab/>
            </w:r>
            <w:r>
              <w:rPr>
                <w:noProof/>
                <w:webHidden/>
              </w:rPr>
              <w:fldChar w:fldCharType="begin"/>
            </w:r>
            <w:r w:rsidR="003E18E4">
              <w:rPr>
                <w:noProof/>
                <w:webHidden/>
              </w:rPr>
              <w:instrText xml:space="preserve"> PAGEREF _Toc310250952 \h </w:instrText>
            </w:r>
            <w:r>
              <w:rPr>
                <w:noProof/>
                <w:webHidden/>
              </w:rPr>
            </w:r>
            <w:r>
              <w:rPr>
                <w:noProof/>
                <w:webHidden/>
              </w:rPr>
              <w:fldChar w:fldCharType="separate"/>
            </w:r>
            <w:r w:rsidR="00F23FF9">
              <w:rPr>
                <w:noProof/>
                <w:webHidden/>
              </w:rPr>
              <w:t>2</w:t>
            </w:r>
            <w:r>
              <w:rPr>
                <w:noProof/>
                <w:webHidden/>
              </w:rPr>
              <w:fldChar w:fldCharType="end"/>
            </w:r>
          </w:hyperlink>
        </w:p>
        <w:p w:rsidR="003E18E4" w:rsidRDefault="00AA331E">
          <w:pPr>
            <w:pStyle w:val="TOC1"/>
            <w:tabs>
              <w:tab w:val="left" w:pos="660"/>
              <w:tab w:val="right" w:leader="dot" w:pos="8990"/>
            </w:tabs>
            <w:rPr>
              <w:rFonts w:asciiTheme="minorHAnsi" w:eastAsiaTheme="minorEastAsia" w:hAnsiTheme="minorHAnsi" w:cstheme="minorBidi"/>
              <w:noProof/>
              <w:sz w:val="22"/>
              <w:szCs w:val="22"/>
              <w:lang w:val="en-CA" w:eastAsia="en-CA"/>
            </w:rPr>
          </w:pPr>
          <w:hyperlink w:anchor="_Toc310250953" w:history="1">
            <w:r w:rsidR="003E18E4" w:rsidRPr="000A63EE">
              <w:rPr>
                <w:rStyle w:val="Hyperlink"/>
                <w:caps/>
                <w:noProof/>
              </w:rPr>
              <w:t>II.</w:t>
            </w:r>
            <w:r w:rsidR="003E18E4">
              <w:rPr>
                <w:rFonts w:asciiTheme="minorHAnsi" w:eastAsiaTheme="minorEastAsia" w:hAnsiTheme="minorHAnsi" w:cstheme="minorBidi"/>
                <w:noProof/>
                <w:sz w:val="22"/>
                <w:szCs w:val="22"/>
                <w:lang w:val="en-CA" w:eastAsia="en-CA"/>
              </w:rPr>
              <w:tab/>
            </w:r>
            <w:r w:rsidR="003E18E4" w:rsidRPr="000A63EE">
              <w:rPr>
                <w:rStyle w:val="Hyperlink"/>
                <w:caps/>
                <w:noProof/>
              </w:rPr>
              <w:t>The APUC Corporate Structure</w:t>
            </w:r>
            <w:r w:rsidR="003E18E4">
              <w:rPr>
                <w:noProof/>
                <w:webHidden/>
              </w:rPr>
              <w:tab/>
            </w:r>
            <w:r w:rsidR="00F21F84">
              <w:rPr>
                <w:noProof/>
                <w:webHidden/>
              </w:rPr>
              <w:fldChar w:fldCharType="begin"/>
            </w:r>
            <w:r w:rsidR="003E18E4">
              <w:rPr>
                <w:noProof/>
                <w:webHidden/>
              </w:rPr>
              <w:instrText xml:space="preserve"> PAGEREF _Toc310250953 \h </w:instrText>
            </w:r>
            <w:r w:rsidR="00F21F84">
              <w:rPr>
                <w:noProof/>
                <w:webHidden/>
              </w:rPr>
            </w:r>
            <w:r w:rsidR="00F21F84">
              <w:rPr>
                <w:noProof/>
                <w:webHidden/>
              </w:rPr>
              <w:fldChar w:fldCharType="separate"/>
            </w:r>
            <w:r w:rsidR="00F23FF9">
              <w:rPr>
                <w:noProof/>
                <w:webHidden/>
              </w:rPr>
              <w:t>3</w:t>
            </w:r>
            <w:r w:rsidR="00F21F84">
              <w:rPr>
                <w:noProof/>
                <w:webHidden/>
              </w:rPr>
              <w:fldChar w:fldCharType="end"/>
            </w:r>
          </w:hyperlink>
        </w:p>
        <w:p w:rsidR="003E18E4" w:rsidRDefault="00AA331E">
          <w:pPr>
            <w:pStyle w:val="TOC1"/>
            <w:tabs>
              <w:tab w:val="left" w:pos="660"/>
              <w:tab w:val="right" w:leader="dot" w:pos="8990"/>
            </w:tabs>
            <w:rPr>
              <w:rFonts w:asciiTheme="minorHAnsi" w:eastAsiaTheme="minorEastAsia" w:hAnsiTheme="minorHAnsi" w:cstheme="minorBidi"/>
              <w:noProof/>
              <w:sz w:val="22"/>
              <w:szCs w:val="22"/>
              <w:lang w:val="en-CA" w:eastAsia="en-CA"/>
            </w:rPr>
          </w:pPr>
          <w:hyperlink w:anchor="_Toc310250954" w:history="1">
            <w:r w:rsidR="003E18E4" w:rsidRPr="000A63EE">
              <w:rPr>
                <w:rStyle w:val="Hyperlink"/>
                <w:caps/>
                <w:noProof/>
              </w:rPr>
              <w:t>III.</w:t>
            </w:r>
            <w:r w:rsidR="003E18E4">
              <w:rPr>
                <w:rFonts w:asciiTheme="minorHAnsi" w:eastAsiaTheme="minorEastAsia" w:hAnsiTheme="minorHAnsi" w:cstheme="minorBidi"/>
                <w:noProof/>
                <w:sz w:val="22"/>
                <w:szCs w:val="22"/>
                <w:lang w:val="en-CA" w:eastAsia="en-CA"/>
              </w:rPr>
              <w:tab/>
            </w:r>
            <w:r w:rsidR="003E18E4" w:rsidRPr="000A63EE">
              <w:rPr>
                <w:rStyle w:val="Hyperlink"/>
                <w:caps/>
                <w:noProof/>
              </w:rPr>
              <w:t>Scope of Services provided by APUC to its subsidiaries and how those costs are allocated</w:t>
            </w:r>
            <w:r w:rsidR="003E18E4">
              <w:rPr>
                <w:noProof/>
                <w:webHidden/>
              </w:rPr>
              <w:tab/>
            </w:r>
            <w:r w:rsidR="00F21F84">
              <w:rPr>
                <w:noProof/>
                <w:webHidden/>
              </w:rPr>
              <w:fldChar w:fldCharType="begin"/>
            </w:r>
            <w:r w:rsidR="003E18E4">
              <w:rPr>
                <w:noProof/>
                <w:webHidden/>
              </w:rPr>
              <w:instrText xml:space="preserve"> PAGEREF _Toc310250954 \h </w:instrText>
            </w:r>
            <w:r w:rsidR="00F21F84">
              <w:rPr>
                <w:noProof/>
                <w:webHidden/>
              </w:rPr>
            </w:r>
            <w:r w:rsidR="00F21F84">
              <w:rPr>
                <w:noProof/>
                <w:webHidden/>
              </w:rPr>
              <w:fldChar w:fldCharType="separate"/>
            </w:r>
            <w:r w:rsidR="00F23FF9">
              <w:rPr>
                <w:noProof/>
                <w:webHidden/>
              </w:rPr>
              <w:t>4</w:t>
            </w:r>
            <w:r w:rsidR="00F21F84">
              <w:rPr>
                <w:noProof/>
                <w:webHidden/>
              </w:rPr>
              <w:fldChar w:fldCharType="end"/>
            </w:r>
          </w:hyperlink>
        </w:p>
        <w:p w:rsidR="003E18E4" w:rsidRDefault="00AA331E">
          <w:pPr>
            <w:pStyle w:val="TOC2"/>
            <w:tabs>
              <w:tab w:val="left" w:pos="880"/>
              <w:tab w:val="right" w:leader="dot" w:pos="8990"/>
            </w:tabs>
            <w:rPr>
              <w:rFonts w:asciiTheme="minorHAnsi" w:eastAsiaTheme="minorEastAsia" w:hAnsiTheme="minorHAnsi" w:cstheme="minorBidi"/>
              <w:noProof/>
              <w:sz w:val="22"/>
              <w:szCs w:val="22"/>
              <w:lang w:val="en-CA" w:eastAsia="en-CA"/>
            </w:rPr>
          </w:pPr>
          <w:hyperlink w:anchor="_Toc310250955" w:history="1">
            <w:r w:rsidR="003E18E4" w:rsidRPr="000A63EE">
              <w:rPr>
                <w:rStyle w:val="Hyperlink"/>
                <w:noProof/>
              </w:rPr>
              <w:t>A.</w:t>
            </w:r>
            <w:r w:rsidR="003E18E4">
              <w:rPr>
                <w:rFonts w:asciiTheme="minorHAnsi" w:eastAsiaTheme="minorEastAsia" w:hAnsiTheme="minorHAnsi" w:cstheme="minorBidi"/>
                <w:noProof/>
                <w:sz w:val="22"/>
                <w:szCs w:val="22"/>
                <w:lang w:val="en-CA" w:eastAsia="en-CA"/>
              </w:rPr>
              <w:tab/>
            </w:r>
            <w:r w:rsidR="003E18E4" w:rsidRPr="000A63EE">
              <w:rPr>
                <w:rStyle w:val="Hyperlink"/>
                <w:noProof/>
              </w:rPr>
              <w:t>Non-Labor Services and Cost Allocation from APUC to LUC and APCo</w:t>
            </w:r>
            <w:r w:rsidR="003E18E4">
              <w:rPr>
                <w:noProof/>
                <w:webHidden/>
              </w:rPr>
              <w:tab/>
            </w:r>
            <w:r w:rsidR="00F21F84">
              <w:rPr>
                <w:noProof/>
                <w:webHidden/>
              </w:rPr>
              <w:fldChar w:fldCharType="begin"/>
            </w:r>
            <w:r w:rsidR="003E18E4">
              <w:rPr>
                <w:noProof/>
                <w:webHidden/>
              </w:rPr>
              <w:instrText xml:space="preserve"> PAGEREF _Toc310250955 \h </w:instrText>
            </w:r>
            <w:r w:rsidR="00F21F84">
              <w:rPr>
                <w:noProof/>
                <w:webHidden/>
              </w:rPr>
            </w:r>
            <w:r w:rsidR="00F21F84">
              <w:rPr>
                <w:noProof/>
                <w:webHidden/>
              </w:rPr>
              <w:fldChar w:fldCharType="separate"/>
            </w:r>
            <w:r w:rsidR="00F23FF9">
              <w:rPr>
                <w:noProof/>
                <w:webHidden/>
              </w:rPr>
              <w:t>4</w:t>
            </w:r>
            <w:r w:rsidR="00F21F84">
              <w:rPr>
                <w:noProof/>
                <w:webHidden/>
              </w:rPr>
              <w:fldChar w:fldCharType="end"/>
            </w:r>
          </w:hyperlink>
        </w:p>
        <w:p w:rsidR="003E18E4" w:rsidRDefault="00AA331E">
          <w:pPr>
            <w:pStyle w:val="TOC2"/>
            <w:tabs>
              <w:tab w:val="left" w:pos="880"/>
              <w:tab w:val="right" w:leader="dot" w:pos="8990"/>
            </w:tabs>
            <w:rPr>
              <w:rFonts w:asciiTheme="minorHAnsi" w:eastAsiaTheme="minorEastAsia" w:hAnsiTheme="minorHAnsi" w:cstheme="minorBidi"/>
              <w:noProof/>
              <w:sz w:val="22"/>
              <w:szCs w:val="22"/>
              <w:lang w:val="en-CA" w:eastAsia="en-CA"/>
            </w:rPr>
          </w:pPr>
          <w:hyperlink w:anchor="_Toc310250956" w:history="1">
            <w:r w:rsidR="003E18E4" w:rsidRPr="000A63EE">
              <w:rPr>
                <w:rStyle w:val="Hyperlink"/>
                <w:noProof/>
              </w:rPr>
              <w:t>B.</w:t>
            </w:r>
            <w:r w:rsidR="003E18E4">
              <w:rPr>
                <w:rFonts w:asciiTheme="minorHAnsi" w:eastAsiaTheme="minorEastAsia" w:hAnsiTheme="minorHAnsi" w:cstheme="minorBidi"/>
                <w:noProof/>
                <w:sz w:val="22"/>
                <w:szCs w:val="22"/>
                <w:lang w:val="en-CA" w:eastAsia="en-CA"/>
              </w:rPr>
              <w:tab/>
            </w:r>
            <w:r w:rsidR="003E18E4" w:rsidRPr="000A63EE">
              <w:rPr>
                <w:rStyle w:val="Hyperlink"/>
                <w:noProof/>
              </w:rPr>
              <w:t>Labor Services And Cost Allocation From APUC To LUC and APCo</w:t>
            </w:r>
            <w:r w:rsidR="003E18E4">
              <w:rPr>
                <w:noProof/>
                <w:webHidden/>
              </w:rPr>
              <w:tab/>
            </w:r>
            <w:r w:rsidR="00F21F84">
              <w:rPr>
                <w:noProof/>
                <w:webHidden/>
              </w:rPr>
              <w:fldChar w:fldCharType="begin"/>
            </w:r>
            <w:r w:rsidR="003E18E4">
              <w:rPr>
                <w:noProof/>
                <w:webHidden/>
              </w:rPr>
              <w:instrText xml:space="preserve"> PAGEREF _Toc310250956 \h </w:instrText>
            </w:r>
            <w:r w:rsidR="00F21F84">
              <w:rPr>
                <w:noProof/>
                <w:webHidden/>
              </w:rPr>
            </w:r>
            <w:r w:rsidR="00F21F84">
              <w:rPr>
                <w:noProof/>
                <w:webHidden/>
              </w:rPr>
              <w:fldChar w:fldCharType="separate"/>
            </w:r>
            <w:r w:rsidR="00F23FF9">
              <w:rPr>
                <w:noProof/>
                <w:webHidden/>
              </w:rPr>
              <w:t>5</w:t>
            </w:r>
            <w:r w:rsidR="00F21F84">
              <w:rPr>
                <w:noProof/>
                <w:webHidden/>
              </w:rPr>
              <w:fldChar w:fldCharType="end"/>
            </w:r>
          </w:hyperlink>
        </w:p>
        <w:p w:rsidR="003E18E4" w:rsidRDefault="00AA331E">
          <w:pPr>
            <w:pStyle w:val="TOC1"/>
            <w:tabs>
              <w:tab w:val="left" w:pos="660"/>
              <w:tab w:val="right" w:leader="dot" w:pos="8990"/>
            </w:tabs>
            <w:rPr>
              <w:rFonts w:asciiTheme="minorHAnsi" w:eastAsiaTheme="minorEastAsia" w:hAnsiTheme="minorHAnsi" w:cstheme="minorBidi"/>
              <w:noProof/>
              <w:sz w:val="22"/>
              <w:szCs w:val="22"/>
              <w:lang w:val="en-CA" w:eastAsia="en-CA"/>
            </w:rPr>
          </w:pPr>
          <w:hyperlink w:anchor="_Toc310250957" w:history="1">
            <w:r w:rsidR="003E18E4" w:rsidRPr="000A63EE">
              <w:rPr>
                <w:rStyle w:val="Hyperlink"/>
                <w:caps/>
                <w:noProof/>
                <w:lang w:val="en-CA"/>
              </w:rPr>
              <w:t>IV.</w:t>
            </w:r>
            <w:r w:rsidR="003E18E4">
              <w:rPr>
                <w:rFonts w:asciiTheme="minorHAnsi" w:eastAsiaTheme="minorEastAsia" w:hAnsiTheme="minorHAnsi" w:cstheme="minorBidi"/>
                <w:noProof/>
                <w:sz w:val="22"/>
                <w:szCs w:val="22"/>
                <w:lang w:val="en-CA" w:eastAsia="en-CA"/>
              </w:rPr>
              <w:tab/>
            </w:r>
            <w:r w:rsidR="003E18E4" w:rsidRPr="000A63EE">
              <w:rPr>
                <w:rStyle w:val="Hyperlink"/>
                <w:caps/>
                <w:noProof/>
              </w:rPr>
              <w:t>Scope of Services provided by LUC to its subsidiaries and how those costs are allocated</w:t>
            </w:r>
            <w:r w:rsidR="003E18E4">
              <w:rPr>
                <w:noProof/>
                <w:webHidden/>
              </w:rPr>
              <w:tab/>
            </w:r>
            <w:r w:rsidR="00F21F84">
              <w:rPr>
                <w:noProof/>
                <w:webHidden/>
              </w:rPr>
              <w:fldChar w:fldCharType="begin"/>
            </w:r>
            <w:r w:rsidR="003E18E4">
              <w:rPr>
                <w:noProof/>
                <w:webHidden/>
              </w:rPr>
              <w:instrText xml:space="preserve"> PAGEREF _Toc310250957 \h </w:instrText>
            </w:r>
            <w:r w:rsidR="00F21F84">
              <w:rPr>
                <w:noProof/>
                <w:webHidden/>
              </w:rPr>
            </w:r>
            <w:r w:rsidR="00F21F84">
              <w:rPr>
                <w:noProof/>
                <w:webHidden/>
              </w:rPr>
              <w:fldChar w:fldCharType="separate"/>
            </w:r>
            <w:r w:rsidR="00F23FF9">
              <w:rPr>
                <w:noProof/>
                <w:webHidden/>
              </w:rPr>
              <w:t>5</w:t>
            </w:r>
            <w:r w:rsidR="00F21F84">
              <w:rPr>
                <w:noProof/>
                <w:webHidden/>
              </w:rPr>
              <w:fldChar w:fldCharType="end"/>
            </w:r>
          </w:hyperlink>
        </w:p>
        <w:p w:rsidR="003E18E4" w:rsidRDefault="00AA331E">
          <w:pPr>
            <w:pStyle w:val="TOC1"/>
            <w:tabs>
              <w:tab w:val="left" w:pos="660"/>
              <w:tab w:val="right" w:leader="dot" w:pos="8990"/>
            </w:tabs>
            <w:rPr>
              <w:rFonts w:asciiTheme="minorHAnsi" w:eastAsiaTheme="minorEastAsia" w:hAnsiTheme="minorHAnsi" w:cstheme="minorBidi"/>
              <w:noProof/>
              <w:sz w:val="22"/>
              <w:szCs w:val="22"/>
              <w:lang w:val="en-CA" w:eastAsia="en-CA"/>
            </w:rPr>
          </w:pPr>
          <w:hyperlink w:anchor="_Toc310250958" w:history="1">
            <w:r w:rsidR="003E18E4" w:rsidRPr="000A63EE">
              <w:rPr>
                <w:rStyle w:val="Hyperlink"/>
                <w:noProof/>
                <w:lang w:val="en-CA"/>
              </w:rPr>
              <w:t>V.</w:t>
            </w:r>
            <w:r w:rsidR="003E18E4">
              <w:rPr>
                <w:rFonts w:asciiTheme="minorHAnsi" w:eastAsiaTheme="minorEastAsia" w:hAnsiTheme="minorHAnsi" w:cstheme="minorBidi"/>
                <w:noProof/>
                <w:sz w:val="22"/>
                <w:szCs w:val="22"/>
                <w:lang w:val="en-CA" w:eastAsia="en-CA"/>
              </w:rPr>
              <w:tab/>
            </w:r>
            <w:r w:rsidR="003E18E4" w:rsidRPr="000A63EE">
              <w:rPr>
                <w:rStyle w:val="Hyperlink"/>
                <w:caps/>
                <w:noProof/>
              </w:rPr>
              <w:t>SERVICE</w:t>
            </w:r>
            <w:r w:rsidR="003E18E4" w:rsidRPr="000A63EE">
              <w:rPr>
                <w:rStyle w:val="Hyperlink"/>
                <w:noProof/>
                <w:lang w:val="en-CA"/>
              </w:rPr>
              <w:t xml:space="preserve"> COMPANY SERVICES AND COST ALLOCATION</w:t>
            </w:r>
            <w:r w:rsidR="003E18E4">
              <w:rPr>
                <w:noProof/>
                <w:webHidden/>
              </w:rPr>
              <w:tab/>
            </w:r>
            <w:r w:rsidR="00F21F84">
              <w:rPr>
                <w:noProof/>
                <w:webHidden/>
              </w:rPr>
              <w:fldChar w:fldCharType="begin"/>
            </w:r>
            <w:r w:rsidR="003E18E4">
              <w:rPr>
                <w:noProof/>
                <w:webHidden/>
              </w:rPr>
              <w:instrText xml:space="preserve"> PAGEREF _Toc310250958 \h </w:instrText>
            </w:r>
            <w:r w:rsidR="00F21F84">
              <w:rPr>
                <w:noProof/>
                <w:webHidden/>
              </w:rPr>
            </w:r>
            <w:r w:rsidR="00F21F84">
              <w:rPr>
                <w:noProof/>
                <w:webHidden/>
              </w:rPr>
              <w:fldChar w:fldCharType="separate"/>
            </w:r>
            <w:r w:rsidR="00F23FF9">
              <w:rPr>
                <w:noProof/>
                <w:webHidden/>
              </w:rPr>
              <w:t>7</w:t>
            </w:r>
            <w:r w:rsidR="00F21F84">
              <w:rPr>
                <w:noProof/>
                <w:webHidden/>
              </w:rPr>
              <w:fldChar w:fldCharType="end"/>
            </w:r>
          </w:hyperlink>
        </w:p>
        <w:p w:rsidR="003E18E4" w:rsidRDefault="00AA331E">
          <w:pPr>
            <w:pStyle w:val="TOC1"/>
            <w:tabs>
              <w:tab w:val="left" w:pos="660"/>
              <w:tab w:val="right" w:leader="dot" w:pos="8990"/>
            </w:tabs>
            <w:rPr>
              <w:rFonts w:asciiTheme="minorHAnsi" w:eastAsiaTheme="minorEastAsia" w:hAnsiTheme="minorHAnsi" w:cstheme="minorBidi"/>
              <w:noProof/>
              <w:sz w:val="22"/>
              <w:szCs w:val="22"/>
              <w:lang w:val="en-CA" w:eastAsia="en-CA"/>
            </w:rPr>
          </w:pPr>
          <w:hyperlink w:anchor="_Toc310250959" w:history="1">
            <w:r w:rsidR="003E18E4" w:rsidRPr="000A63EE">
              <w:rPr>
                <w:rStyle w:val="Hyperlink"/>
                <w:caps/>
                <w:noProof/>
              </w:rPr>
              <w:t>VI.</w:t>
            </w:r>
            <w:r w:rsidR="003E18E4">
              <w:rPr>
                <w:rFonts w:asciiTheme="minorHAnsi" w:eastAsiaTheme="minorEastAsia" w:hAnsiTheme="minorHAnsi" w:cstheme="minorBidi"/>
                <w:noProof/>
                <w:sz w:val="22"/>
                <w:szCs w:val="22"/>
                <w:lang w:val="en-CA" w:eastAsia="en-CA"/>
              </w:rPr>
              <w:tab/>
            </w:r>
            <w:r w:rsidR="003E18E4" w:rsidRPr="000A63EE">
              <w:rPr>
                <w:rStyle w:val="Hyperlink"/>
                <w:caps/>
                <w:noProof/>
              </w:rPr>
              <w:t>ALLOCATION OF GAS PROCUREMENT COSTS</w:t>
            </w:r>
            <w:r w:rsidR="003E18E4">
              <w:rPr>
                <w:noProof/>
                <w:webHidden/>
              </w:rPr>
              <w:tab/>
            </w:r>
            <w:r w:rsidR="00F21F84">
              <w:rPr>
                <w:noProof/>
                <w:webHidden/>
              </w:rPr>
              <w:fldChar w:fldCharType="begin"/>
            </w:r>
            <w:r w:rsidR="003E18E4">
              <w:rPr>
                <w:noProof/>
                <w:webHidden/>
              </w:rPr>
              <w:instrText xml:space="preserve"> PAGEREF _Toc310250959 \h </w:instrText>
            </w:r>
            <w:r w:rsidR="00F21F84">
              <w:rPr>
                <w:noProof/>
                <w:webHidden/>
              </w:rPr>
            </w:r>
            <w:r w:rsidR="00F21F84">
              <w:rPr>
                <w:noProof/>
                <w:webHidden/>
              </w:rPr>
              <w:fldChar w:fldCharType="separate"/>
            </w:r>
            <w:r w:rsidR="00F23FF9">
              <w:rPr>
                <w:noProof/>
                <w:webHidden/>
              </w:rPr>
              <w:t>8</w:t>
            </w:r>
            <w:r w:rsidR="00F21F84">
              <w:rPr>
                <w:noProof/>
                <w:webHidden/>
              </w:rPr>
              <w:fldChar w:fldCharType="end"/>
            </w:r>
          </w:hyperlink>
        </w:p>
        <w:p w:rsidR="003E18E4" w:rsidRDefault="00AA331E">
          <w:pPr>
            <w:pStyle w:val="TOC1"/>
            <w:tabs>
              <w:tab w:val="left" w:pos="660"/>
              <w:tab w:val="right" w:leader="dot" w:pos="8990"/>
            </w:tabs>
            <w:rPr>
              <w:rFonts w:asciiTheme="minorHAnsi" w:eastAsiaTheme="minorEastAsia" w:hAnsiTheme="minorHAnsi" w:cstheme="minorBidi"/>
              <w:noProof/>
              <w:sz w:val="22"/>
              <w:szCs w:val="22"/>
              <w:lang w:val="en-CA" w:eastAsia="en-CA"/>
            </w:rPr>
          </w:pPr>
          <w:hyperlink w:anchor="_Toc310250960" w:history="1">
            <w:r w:rsidR="003E18E4" w:rsidRPr="000A63EE">
              <w:rPr>
                <w:rStyle w:val="Hyperlink"/>
                <w:noProof/>
              </w:rPr>
              <w:t>VII.</w:t>
            </w:r>
            <w:r w:rsidR="003E18E4">
              <w:rPr>
                <w:rFonts w:asciiTheme="minorHAnsi" w:eastAsiaTheme="minorEastAsia" w:hAnsiTheme="minorHAnsi" w:cstheme="minorBidi"/>
                <w:noProof/>
                <w:sz w:val="22"/>
                <w:szCs w:val="22"/>
                <w:lang w:val="en-CA" w:eastAsia="en-CA"/>
              </w:rPr>
              <w:tab/>
            </w:r>
            <w:r w:rsidR="003E18E4" w:rsidRPr="000A63EE">
              <w:rPr>
                <w:rStyle w:val="Hyperlink"/>
                <w:noProof/>
              </w:rPr>
              <w:t>Appendix</w:t>
            </w:r>
            <w:r w:rsidR="003E18E4">
              <w:rPr>
                <w:noProof/>
                <w:webHidden/>
              </w:rPr>
              <w:tab/>
            </w:r>
            <w:r w:rsidR="00F21F84">
              <w:rPr>
                <w:noProof/>
                <w:webHidden/>
              </w:rPr>
              <w:fldChar w:fldCharType="begin"/>
            </w:r>
            <w:r w:rsidR="003E18E4">
              <w:rPr>
                <w:noProof/>
                <w:webHidden/>
              </w:rPr>
              <w:instrText xml:space="preserve"> PAGEREF _Toc310250960 \h </w:instrText>
            </w:r>
            <w:r w:rsidR="00F21F84">
              <w:rPr>
                <w:noProof/>
                <w:webHidden/>
              </w:rPr>
            </w:r>
            <w:r w:rsidR="00F21F84">
              <w:rPr>
                <w:noProof/>
                <w:webHidden/>
              </w:rPr>
              <w:fldChar w:fldCharType="separate"/>
            </w:r>
            <w:r w:rsidR="00F23FF9">
              <w:rPr>
                <w:noProof/>
                <w:webHidden/>
              </w:rPr>
              <w:t>9</w:t>
            </w:r>
            <w:r w:rsidR="00F21F84">
              <w:rPr>
                <w:noProof/>
                <w:webHidden/>
              </w:rPr>
              <w:fldChar w:fldCharType="end"/>
            </w:r>
          </w:hyperlink>
        </w:p>
        <w:p w:rsidR="003E18E4" w:rsidRDefault="00AA331E">
          <w:pPr>
            <w:pStyle w:val="TOC2"/>
            <w:tabs>
              <w:tab w:val="right" w:leader="dot" w:pos="8990"/>
            </w:tabs>
            <w:rPr>
              <w:rFonts w:asciiTheme="minorHAnsi" w:eastAsiaTheme="minorEastAsia" w:hAnsiTheme="minorHAnsi" w:cstheme="minorBidi"/>
              <w:noProof/>
              <w:sz w:val="22"/>
              <w:szCs w:val="22"/>
              <w:lang w:val="en-CA" w:eastAsia="en-CA"/>
            </w:rPr>
          </w:pPr>
          <w:hyperlink w:anchor="_Toc310250961" w:history="1">
            <w:r w:rsidR="003E18E4" w:rsidRPr="000A63EE">
              <w:rPr>
                <w:rStyle w:val="Hyperlink"/>
                <w:noProof/>
              </w:rPr>
              <w:t>Appendix 1: NARUC Guidelines for Cost Allocations</w:t>
            </w:r>
            <w:r w:rsidR="003E18E4">
              <w:rPr>
                <w:noProof/>
                <w:webHidden/>
              </w:rPr>
              <w:tab/>
            </w:r>
            <w:r w:rsidR="00F21F84">
              <w:rPr>
                <w:noProof/>
                <w:webHidden/>
              </w:rPr>
              <w:fldChar w:fldCharType="begin"/>
            </w:r>
            <w:r w:rsidR="003E18E4">
              <w:rPr>
                <w:noProof/>
                <w:webHidden/>
              </w:rPr>
              <w:instrText xml:space="preserve"> PAGEREF _Toc310250961 \h </w:instrText>
            </w:r>
            <w:r w:rsidR="00F21F84">
              <w:rPr>
                <w:noProof/>
                <w:webHidden/>
              </w:rPr>
            </w:r>
            <w:r w:rsidR="00F21F84">
              <w:rPr>
                <w:noProof/>
                <w:webHidden/>
              </w:rPr>
              <w:fldChar w:fldCharType="separate"/>
            </w:r>
            <w:r w:rsidR="00F23FF9">
              <w:rPr>
                <w:noProof/>
                <w:webHidden/>
              </w:rPr>
              <w:t>9</w:t>
            </w:r>
            <w:r w:rsidR="00F21F84">
              <w:rPr>
                <w:noProof/>
                <w:webHidden/>
              </w:rPr>
              <w:fldChar w:fldCharType="end"/>
            </w:r>
          </w:hyperlink>
        </w:p>
        <w:p w:rsidR="003E18E4" w:rsidRDefault="00AA331E">
          <w:pPr>
            <w:pStyle w:val="TOC2"/>
            <w:tabs>
              <w:tab w:val="right" w:leader="dot" w:pos="8990"/>
            </w:tabs>
            <w:rPr>
              <w:rFonts w:asciiTheme="minorHAnsi" w:eastAsiaTheme="minorEastAsia" w:hAnsiTheme="minorHAnsi" w:cstheme="minorBidi"/>
              <w:noProof/>
              <w:sz w:val="22"/>
              <w:szCs w:val="22"/>
              <w:lang w:val="en-CA" w:eastAsia="en-CA"/>
            </w:rPr>
          </w:pPr>
          <w:hyperlink w:anchor="_Toc310250962" w:history="1">
            <w:r w:rsidR="003E18E4" w:rsidRPr="000A63EE">
              <w:rPr>
                <w:rStyle w:val="Hyperlink"/>
                <w:noProof/>
              </w:rPr>
              <w:t>Appendix 2 – Detailed Explanation of APUC Costs</w:t>
            </w:r>
            <w:r w:rsidR="003E18E4">
              <w:rPr>
                <w:noProof/>
                <w:webHidden/>
              </w:rPr>
              <w:tab/>
            </w:r>
            <w:r w:rsidR="00F21F84">
              <w:rPr>
                <w:noProof/>
                <w:webHidden/>
              </w:rPr>
              <w:fldChar w:fldCharType="begin"/>
            </w:r>
            <w:r w:rsidR="003E18E4">
              <w:rPr>
                <w:noProof/>
                <w:webHidden/>
              </w:rPr>
              <w:instrText xml:space="preserve"> PAGEREF _Toc310250962 \h </w:instrText>
            </w:r>
            <w:r w:rsidR="00F21F84">
              <w:rPr>
                <w:noProof/>
                <w:webHidden/>
              </w:rPr>
            </w:r>
            <w:r w:rsidR="00F21F84">
              <w:rPr>
                <w:noProof/>
                <w:webHidden/>
              </w:rPr>
              <w:fldChar w:fldCharType="separate"/>
            </w:r>
            <w:r w:rsidR="00F23FF9">
              <w:rPr>
                <w:noProof/>
                <w:webHidden/>
              </w:rPr>
              <w:t>16</w:t>
            </w:r>
            <w:r w:rsidR="00F21F84">
              <w:rPr>
                <w:noProof/>
                <w:webHidden/>
              </w:rPr>
              <w:fldChar w:fldCharType="end"/>
            </w:r>
          </w:hyperlink>
        </w:p>
        <w:p w:rsidR="003E18E4" w:rsidRDefault="00AA331E">
          <w:pPr>
            <w:pStyle w:val="TOC2"/>
            <w:tabs>
              <w:tab w:val="left" w:pos="660"/>
              <w:tab w:val="right" w:leader="dot" w:pos="8990"/>
            </w:tabs>
            <w:rPr>
              <w:rFonts w:asciiTheme="minorHAnsi" w:eastAsiaTheme="minorEastAsia" w:hAnsiTheme="minorHAnsi" w:cstheme="minorBidi"/>
              <w:noProof/>
              <w:sz w:val="22"/>
              <w:szCs w:val="22"/>
              <w:lang w:val="en-CA" w:eastAsia="en-CA"/>
            </w:rPr>
          </w:pPr>
          <w:hyperlink w:anchor="_Toc310250963" w:history="1">
            <w:r w:rsidR="003E18E4" w:rsidRPr="000A63EE">
              <w:rPr>
                <w:rStyle w:val="Hyperlink"/>
                <w:smallCaps/>
                <w:noProof/>
              </w:rPr>
              <w:t>1.</w:t>
            </w:r>
            <w:r w:rsidR="003E18E4">
              <w:rPr>
                <w:rFonts w:asciiTheme="minorHAnsi" w:eastAsiaTheme="minorEastAsia" w:hAnsiTheme="minorHAnsi" w:cstheme="minorBidi"/>
                <w:noProof/>
                <w:sz w:val="22"/>
                <w:szCs w:val="22"/>
                <w:lang w:val="en-CA" w:eastAsia="en-CA"/>
              </w:rPr>
              <w:tab/>
            </w:r>
            <w:r w:rsidR="003E18E4" w:rsidRPr="000A63EE">
              <w:rPr>
                <w:rStyle w:val="Hyperlink"/>
                <w:smallCaps/>
                <w:noProof/>
              </w:rPr>
              <w:t>APUC Strategic Management Costs</w:t>
            </w:r>
            <w:r w:rsidR="003E18E4">
              <w:rPr>
                <w:noProof/>
                <w:webHidden/>
              </w:rPr>
              <w:tab/>
            </w:r>
            <w:r w:rsidR="00F21F84">
              <w:rPr>
                <w:noProof/>
                <w:webHidden/>
              </w:rPr>
              <w:fldChar w:fldCharType="begin"/>
            </w:r>
            <w:r w:rsidR="003E18E4">
              <w:rPr>
                <w:noProof/>
                <w:webHidden/>
              </w:rPr>
              <w:instrText xml:space="preserve"> PAGEREF _Toc310250963 \h </w:instrText>
            </w:r>
            <w:r w:rsidR="00F21F84">
              <w:rPr>
                <w:noProof/>
                <w:webHidden/>
              </w:rPr>
            </w:r>
            <w:r w:rsidR="00F21F84">
              <w:rPr>
                <w:noProof/>
                <w:webHidden/>
              </w:rPr>
              <w:fldChar w:fldCharType="separate"/>
            </w:r>
            <w:r w:rsidR="00F23FF9">
              <w:rPr>
                <w:noProof/>
                <w:webHidden/>
              </w:rPr>
              <w:t>16</w:t>
            </w:r>
            <w:r w:rsidR="00F21F84">
              <w:rPr>
                <w:noProof/>
                <w:webHidden/>
              </w:rPr>
              <w:fldChar w:fldCharType="end"/>
            </w:r>
          </w:hyperlink>
        </w:p>
        <w:p w:rsidR="003E18E4" w:rsidRDefault="00AA331E">
          <w:pPr>
            <w:pStyle w:val="TOC2"/>
            <w:tabs>
              <w:tab w:val="left" w:pos="660"/>
              <w:tab w:val="right" w:leader="dot" w:pos="8990"/>
            </w:tabs>
            <w:rPr>
              <w:rFonts w:asciiTheme="minorHAnsi" w:eastAsiaTheme="minorEastAsia" w:hAnsiTheme="minorHAnsi" w:cstheme="minorBidi"/>
              <w:noProof/>
              <w:sz w:val="22"/>
              <w:szCs w:val="22"/>
              <w:lang w:val="en-CA" w:eastAsia="en-CA"/>
            </w:rPr>
          </w:pPr>
          <w:hyperlink w:anchor="_Toc310250964" w:history="1">
            <w:r w:rsidR="003E18E4" w:rsidRPr="000A63EE">
              <w:rPr>
                <w:rStyle w:val="Hyperlink"/>
                <w:smallCaps/>
                <w:noProof/>
              </w:rPr>
              <w:t>2.</w:t>
            </w:r>
            <w:r w:rsidR="003E18E4">
              <w:rPr>
                <w:rFonts w:asciiTheme="minorHAnsi" w:eastAsiaTheme="minorEastAsia" w:hAnsiTheme="minorHAnsi" w:cstheme="minorBidi"/>
                <w:noProof/>
                <w:sz w:val="22"/>
                <w:szCs w:val="22"/>
                <w:lang w:val="en-CA" w:eastAsia="en-CA"/>
              </w:rPr>
              <w:tab/>
            </w:r>
            <w:r w:rsidR="003E18E4" w:rsidRPr="000A63EE">
              <w:rPr>
                <w:rStyle w:val="Hyperlink"/>
                <w:smallCaps/>
                <w:noProof/>
              </w:rPr>
              <w:t>Access to Capital Markets</w:t>
            </w:r>
            <w:r w:rsidR="003E18E4">
              <w:rPr>
                <w:noProof/>
                <w:webHidden/>
              </w:rPr>
              <w:tab/>
            </w:r>
            <w:r w:rsidR="00F21F84">
              <w:rPr>
                <w:noProof/>
                <w:webHidden/>
              </w:rPr>
              <w:fldChar w:fldCharType="begin"/>
            </w:r>
            <w:r w:rsidR="003E18E4">
              <w:rPr>
                <w:noProof/>
                <w:webHidden/>
              </w:rPr>
              <w:instrText xml:space="preserve"> PAGEREF _Toc310250964 \h </w:instrText>
            </w:r>
            <w:r w:rsidR="00F21F84">
              <w:rPr>
                <w:noProof/>
                <w:webHidden/>
              </w:rPr>
            </w:r>
            <w:r w:rsidR="00F21F84">
              <w:rPr>
                <w:noProof/>
                <w:webHidden/>
              </w:rPr>
              <w:fldChar w:fldCharType="separate"/>
            </w:r>
            <w:r w:rsidR="00F23FF9">
              <w:rPr>
                <w:noProof/>
                <w:webHidden/>
              </w:rPr>
              <w:t>17</w:t>
            </w:r>
            <w:r w:rsidR="00F21F84">
              <w:rPr>
                <w:noProof/>
                <w:webHidden/>
              </w:rPr>
              <w:fldChar w:fldCharType="end"/>
            </w:r>
          </w:hyperlink>
        </w:p>
        <w:p w:rsidR="003E18E4" w:rsidRDefault="00AA331E">
          <w:pPr>
            <w:pStyle w:val="TOC2"/>
            <w:tabs>
              <w:tab w:val="left" w:pos="660"/>
              <w:tab w:val="right" w:leader="dot" w:pos="8990"/>
            </w:tabs>
            <w:rPr>
              <w:rFonts w:asciiTheme="minorHAnsi" w:eastAsiaTheme="minorEastAsia" w:hAnsiTheme="minorHAnsi" w:cstheme="minorBidi"/>
              <w:noProof/>
              <w:sz w:val="22"/>
              <w:szCs w:val="22"/>
              <w:lang w:val="en-CA" w:eastAsia="en-CA"/>
            </w:rPr>
          </w:pPr>
          <w:hyperlink w:anchor="_Toc310250965" w:history="1">
            <w:r w:rsidR="003E18E4" w:rsidRPr="000A63EE">
              <w:rPr>
                <w:rStyle w:val="Hyperlink"/>
                <w:noProof/>
              </w:rPr>
              <w:t>3.</w:t>
            </w:r>
            <w:r w:rsidR="003E18E4">
              <w:rPr>
                <w:rFonts w:asciiTheme="minorHAnsi" w:eastAsiaTheme="minorEastAsia" w:hAnsiTheme="minorHAnsi" w:cstheme="minorBidi"/>
                <w:noProof/>
                <w:sz w:val="22"/>
                <w:szCs w:val="22"/>
                <w:lang w:val="en-CA" w:eastAsia="en-CA"/>
              </w:rPr>
              <w:tab/>
            </w:r>
            <w:r w:rsidR="003E18E4" w:rsidRPr="000A63EE">
              <w:rPr>
                <w:rStyle w:val="Hyperlink"/>
                <w:smallCaps/>
                <w:noProof/>
              </w:rPr>
              <w:t>APUC Financial Controls</w:t>
            </w:r>
            <w:r w:rsidR="003E18E4">
              <w:rPr>
                <w:noProof/>
                <w:webHidden/>
              </w:rPr>
              <w:tab/>
            </w:r>
            <w:r w:rsidR="00F21F84">
              <w:rPr>
                <w:noProof/>
                <w:webHidden/>
              </w:rPr>
              <w:fldChar w:fldCharType="begin"/>
            </w:r>
            <w:r w:rsidR="003E18E4">
              <w:rPr>
                <w:noProof/>
                <w:webHidden/>
              </w:rPr>
              <w:instrText xml:space="preserve"> PAGEREF _Toc310250965 \h </w:instrText>
            </w:r>
            <w:r w:rsidR="00F21F84">
              <w:rPr>
                <w:noProof/>
                <w:webHidden/>
              </w:rPr>
            </w:r>
            <w:r w:rsidR="00F21F84">
              <w:rPr>
                <w:noProof/>
                <w:webHidden/>
              </w:rPr>
              <w:fldChar w:fldCharType="separate"/>
            </w:r>
            <w:r w:rsidR="00F23FF9">
              <w:rPr>
                <w:noProof/>
                <w:webHidden/>
              </w:rPr>
              <w:t>17</w:t>
            </w:r>
            <w:r w:rsidR="00F21F84">
              <w:rPr>
                <w:noProof/>
                <w:webHidden/>
              </w:rPr>
              <w:fldChar w:fldCharType="end"/>
            </w:r>
          </w:hyperlink>
        </w:p>
        <w:p w:rsidR="003E18E4" w:rsidRDefault="00AA331E">
          <w:pPr>
            <w:pStyle w:val="TOC2"/>
            <w:tabs>
              <w:tab w:val="left" w:pos="660"/>
              <w:tab w:val="right" w:leader="dot" w:pos="8990"/>
            </w:tabs>
            <w:rPr>
              <w:rFonts w:asciiTheme="minorHAnsi" w:eastAsiaTheme="minorEastAsia" w:hAnsiTheme="minorHAnsi" w:cstheme="minorBidi"/>
              <w:noProof/>
              <w:sz w:val="22"/>
              <w:szCs w:val="22"/>
              <w:lang w:val="en-CA" w:eastAsia="en-CA"/>
            </w:rPr>
          </w:pPr>
          <w:hyperlink w:anchor="_Toc310250966" w:history="1">
            <w:r w:rsidR="003E18E4" w:rsidRPr="000A63EE">
              <w:rPr>
                <w:rStyle w:val="Hyperlink"/>
                <w:noProof/>
              </w:rPr>
              <w:t>4.</w:t>
            </w:r>
            <w:r w:rsidR="003E18E4">
              <w:rPr>
                <w:rFonts w:asciiTheme="minorHAnsi" w:eastAsiaTheme="minorEastAsia" w:hAnsiTheme="minorHAnsi" w:cstheme="minorBidi"/>
                <w:noProof/>
                <w:sz w:val="22"/>
                <w:szCs w:val="22"/>
                <w:lang w:val="en-CA" w:eastAsia="en-CA"/>
              </w:rPr>
              <w:tab/>
            </w:r>
            <w:r w:rsidR="003E18E4" w:rsidRPr="000A63EE">
              <w:rPr>
                <w:rStyle w:val="Hyperlink"/>
                <w:smallCaps/>
                <w:noProof/>
              </w:rPr>
              <w:t>APUC Administrative Costs</w:t>
            </w:r>
            <w:r w:rsidR="003E18E4">
              <w:rPr>
                <w:noProof/>
                <w:webHidden/>
              </w:rPr>
              <w:tab/>
            </w:r>
            <w:r w:rsidR="00F21F84">
              <w:rPr>
                <w:noProof/>
                <w:webHidden/>
              </w:rPr>
              <w:fldChar w:fldCharType="begin"/>
            </w:r>
            <w:r w:rsidR="003E18E4">
              <w:rPr>
                <w:noProof/>
                <w:webHidden/>
              </w:rPr>
              <w:instrText xml:space="preserve"> PAGEREF _Toc310250966 \h </w:instrText>
            </w:r>
            <w:r w:rsidR="00F21F84">
              <w:rPr>
                <w:noProof/>
                <w:webHidden/>
              </w:rPr>
            </w:r>
            <w:r w:rsidR="00F21F84">
              <w:rPr>
                <w:noProof/>
                <w:webHidden/>
              </w:rPr>
              <w:fldChar w:fldCharType="separate"/>
            </w:r>
            <w:r w:rsidR="00F23FF9">
              <w:rPr>
                <w:noProof/>
                <w:webHidden/>
              </w:rPr>
              <w:t>18</w:t>
            </w:r>
            <w:r w:rsidR="00F21F84">
              <w:rPr>
                <w:noProof/>
                <w:webHidden/>
              </w:rPr>
              <w:fldChar w:fldCharType="end"/>
            </w:r>
          </w:hyperlink>
        </w:p>
        <w:p w:rsidR="003E18E4" w:rsidRDefault="00AA331E">
          <w:pPr>
            <w:pStyle w:val="TOC2"/>
            <w:tabs>
              <w:tab w:val="right" w:leader="dot" w:pos="8990"/>
            </w:tabs>
            <w:rPr>
              <w:rFonts w:asciiTheme="minorHAnsi" w:eastAsiaTheme="minorEastAsia" w:hAnsiTheme="minorHAnsi" w:cstheme="minorBidi"/>
              <w:noProof/>
              <w:sz w:val="22"/>
              <w:szCs w:val="22"/>
              <w:lang w:val="en-CA" w:eastAsia="en-CA"/>
            </w:rPr>
          </w:pPr>
          <w:hyperlink w:anchor="_Toc310250967" w:history="1">
            <w:r w:rsidR="003E18E4" w:rsidRPr="000A63EE">
              <w:rPr>
                <w:rStyle w:val="Hyperlink"/>
                <w:noProof/>
              </w:rPr>
              <w:t>APPENDIX 3 – LIFE OF AN INVOICE</w:t>
            </w:r>
            <w:r w:rsidR="003E18E4">
              <w:rPr>
                <w:noProof/>
                <w:webHidden/>
              </w:rPr>
              <w:tab/>
            </w:r>
            <w:r w:rsidR="00F21F84">
              <w:rPr>
                <w:noProof/>
                <w:webHidden/>
              </w:rPr>
              <w:fldChar w:fldCharType="begin"/>
            </w:r>
            <w:r w:rsidR="003E18E4">
              <w:rPr>
                <w:noProof/>
                <w:webHidden/>
              </w:rPr>
              <w:instrText xml:space="preserve"> PAGEREF _Toc310250967 \h </w:instrText>
            </w:r>
            <w:r w:rsidR="00F21F84">
              <w:rPr>
                <w:noProof/>
                <w:webHidden/>
              </w:rPr>
            </w:r>
            <w:r w:rsidR="00F21F84">
              <w:rPr>
                <w:noProof/>
                <w:webHidden/>
              </w:rPr>
              <w:fldChar w:fldCharType="separate"/>
            </w:r>
            <w:r w:rsidR="00F23FF9">
              <w:rPr>
                <w:noProof/>
                <w:webHidden/>
              </w:rPr>
              <w:t>19</w:t>
            </w:r>
            <w:r w:rsidR="00F21F84">
              <w:rPr>
                <w:noProof/>
                <w:webHidden/>
              </w:rPr>
              <w:fldChar w:fldCharType="end"/>
            </w:r>
          </w:hyperlink>
        </w:p>
        <w:p w:rsidR="003E18E4" w:rsidRDefault="00AA331E">
          <w:pPr>
            <w:pStyle w:val="TOC2"/>
            <w:tabs>
              <w:tab w:val="right" w:leader="dot" w:pos="8990"/>
            </w:tabs>
            <w:rPr>
              <w:rFonts w:asciiTheme="minorHAnsi" w:eastAsiaTheme="minorEastAsia" w:hAnsiTheme="minorHAnsi" w:cstheme="minorBidi"/>
              <w:noProof/>
              <w:sz w:val="22"/>
              <w:szCs w:val="22"/>
              <w:lang w:val="en-CA" w:eastAsia="en-CA"/>
            </w:rPr>
          </w:pPr>
          <w:hyperlink w:anchor="_Toc310250968" w:history="1">
            <w:r w:rsidR="003E18E4" w:rsidRPr="000A63EE">
              <w:rPr>
                <w:rStyle w:val="Hyperlink"/>
                <w:noProof/>
              </w:rPr>
              <w:t>APPENDIX 4 – LABOR ALLCOATION EXAMPLE</w:t>
            </w:r>
            <w:r w:rsidR="003E18E4">
              <w:rPr>
                <w:noProof/>
                <w:webHidden/>
              </w:rPr>
              <w:tab/>
            </w:r>
            <w:r w:rsidR="00F21F84">
              <w:rPr>
                <w:noProof/>
                <w:webHidden/>
              </w:rPr>
              <w:fldChar w:fldCharType="begin"/>
            </w:r>
            <w:r w:rsidR="003E18E4">
              <w:rPr>
                <w:noProof/>
                <w:webHidden/>
              </w:rPr>
              <w:instrText xml:space="preserve"> PAGEREF _Toc310250968 \h </w:instrText>
            </w:r>
            <w:r w:rsidR="00F21F84">
              <w:rPr>
                <w:noProof/>
                <w:webHidden/>
              </w:rPr>
            </w:r>
            <w:r w:rsidR="00F21F84">
              <w:rPr>
                <w:noProof/>
                <w:webHidden/>
              </w:rPr>
              <w:fldChar w:fldCharType="separate"/>
            </w:r>
            <w:r w:rsidR="00F23FF9">
              <w:rPr>
                <w:noProof/>
                <w:webHidden/>
              </w:rPr>
              <w:t>20</w:t>
            </w:r>
            <w:r w:rsidR="00F21F84">
              <w:rPr>
                <w:noProof/>
                <w:webHidden/>
              </w:rPr>
              <w:fldChar w:fldCharType="end"/>
            </w:r>
          </w:hyperlink>
        </w:p>
        <w:p w:rsidR="003F7EA1" w:rsidRDefault="00F21F84">
          <w:r>
            <w:rPr>
              <w:b/>
              <w:bCs/>
              <w:noProof/>
            </w:rPr>
            <w:fldChar w:fldCharType="end"/>
          </w:r>
        </w:p>
      </w:sdtContent>
    </w:sdt>
    <w:p w:rsidR="003F7EA1" w:rsidRDefault="003F7EA1" w:rsidP="000E6C2E">
      <w:pPr>
        <w:pStyle w:val="Heading1"/>
        <w:sectPr w:rsidR="003F7EA1" w:rsidSect="00502897">
          <w:headerReference w:type="default" r:id="rId16"/>
          <w:footerReference w:type="even" r:id="rId17"/>
          <w:footerReference w:type="default" r:id="rId18"/>
          <w:headerReference w:type="first" r:id="rId19"/>
          <w:footerReference w:type="first" r:id="rId20"/>
          <w:pgSz w:w="12240" w:h="15840"/>
          <w:pgMar w:top="1440" w:right="1800" w:bottom="1260" w:left="1440" w:header="720" w:footer="720" w:gutter="0"/>
          <w:pgNumType w:start="0"/>
          <w:cols w:space="720"/>
          <w:titlePg/>
          <w:docGrid w:linePitch="360"/>
        </w:sectPr>
      </w:pPr>
    </w:p>
    <w:p w:rsidR="008A66D1" w:rsidRPr="00AF731A" w:rsidRDefault="000E6C2E" w:rsidP="005F3A0B">
      <w:pPr>
        <w:pStyle w:val="Heading1"/>
        <w:numPr>
          <w:ilvl w:val="0"/>
          <w:numId w:val="7"/>
        </w:numPr>
        <w:ind w:left="851" w:hanging="567"/>
        <w:rPr>
          <w:caps/>
          <w:color w:val="auto"/>
        </w:rPr>
      </w:pPr>
      <w:bookmarkStart w:id="0" w:name="_Toc310250952"/>
      <w:r w:rsidRPr="00AF731A">
        <w:rPr>
          <w:caps/>
          <w:color w:val="auto"/>
        </w:rPr>
        <w:t>Introduction</w:t>
      </w:r>
      <w:bookmarkEnd w:id="0"/>
    </w:p>
    <w:p w:rsidR="000E6C2E" w:rsidRPr="000E6C2E" w:rsidRDefault="000E6C2E" w:rsidP="000E6C2E"/>
    <w:p w:rsidR="00F77AD4" w:rsidRDefault="00806C9E" w:rsidP="00FB2680">
      <w:pPr>
        <w:ind w:firstLine="720"/>
        <w:jc w:val="both"/>
        <w:rPr>
          <w:sz w:val="26"/>
          <w:szCs w:val="26"/>
        </w:rPr>
      </w:pPr>
      <w:r w:rsidRPr="009C45CD">
        <w:rPr>
          <w:sz w:val="26"/>
          <w:szCs w:val="26"/>
        </w:rPr>
        <w:t xml:space="preserve">The purpose of this </w:t>
      </w:r>
      <w:r w:rsidR="008F132D">
        <w:rPr>
          <w:sz w:val="26"/>
          <w:szCs w:val="26"/>
        </w:rPr>
        <w:t xml:space="preserve">paper is to provide a detailed explanation of </w:t>
      </w:r>
      <w:r w:rsidR="00851503">
        <w:rPr>
          <w:sz w:val="26"/>
          <w:szCs w:val="26"/>
        </w:rPr>
        <w:t xml:space="preserve">services provided by </w:t>
      </w:r>
      <w:r w:rsidR="00F77AD4">
        <w:rPr>
          <w:sz w:val="26"/>
          <w:szCs w:val="26"/>
        </w:rPr>
        <w:t>Algonquin Power &amp; Utilities Corp (“APUC”)</w:t>
      </w:r>
      <w:r w:rsidR="00CA7047">
        <w:rPr>
          <w:sz w:val="26"/>
          <w:szCs w:val="26"/>
        </w:rPr>
        <w:t>,</w:t>
      </w:r>
      <w:r w:rsidR="00227618">
        <w:rPr>
          <w:sz w:val="26"/>
          <w:szCs w:val="26"/>
        </w:rPr>
        <w:t xml:space="preserve"> </w:t>
      </w:r>
      <w:r w:rsidR="00CA7047">
        <w:rPr>
          <w:sz w:val="26"/>
          <w:szCs w:val="26"/>
        </w:rPr>
        <w:t>Liberty Utilities (Canada) Corp. (“LUC</w:t>
      </w:r>
      <w:r w:rsidR="00CA7047" w:rsidRPr="000F1D3A">
        <w:rPr>
          <w:sz w:val="26"/>
          <w:szCs w:val="26"/>
        </w:rPr>
        <w:t>”), and</w:t>
      </w:r>
      <w:r w:rsidR="00851503" w:rsidRPr="000F1D3A">
        <w:rPr>
          <w:sz w:val="26"/>
          <w:szCs w:val="26"/>
        </w:rPr>
        <w:t xml:space="preserve"> </w:t>
      </w:r>
      <w:r w:rsidR="00CA7047" w:rsidRPr="000F1D3A">
        <w:rPr>
          <w:sz w:val="26"/>
          <w:szCs w:val="26"/>
        </w:rPr>
        <w:t>LUC’s service companies</w:t>
      </w:r>
      <w:r w:rsidR="00CA7047">
        <w:rPr>
          <w:sz w:val="26"/>
          <w:szCs w:val="26"/>
        </w:rPr>
        <w:t xml:space="preserve"> </w:t>
      </w:r>
      <w:r w:rsidR="000F1D3A">
        <w:rPr>
          <w:sz w:val="26"/>
          <w:szCs w:val="26"/>
        </w:rPr>
        <w:t xml:space="preserve">(the “Service Companies”) </w:t>
      </w:r>
      <w:r w:rsidR="00851503">
        <w:rPr>
          <w:sz w:val="26"/>
          <w:szCs w:val="26"/>
        </w:rPr>
        <w:t xml:space="preserve">to </w:t>
      </w:r>
      <w:r w:rsidR="00425ECE">
        <w:rPr>
          <w:sz w:val="26"/>
          <w:szCs w:val="26"/>
        </w:rPr>
        <w:t>the regulated utility assets and</w:t>
      </w:r>
      <w:r w:rsidR="00851503">
        <w:rPr>
          <w:sz w:val="26"/>
          <w:szCs w:val="26"/>
        </w:rPr>
        <w:t xml:space="preserve"> to describe the Direct Charge and</w:t>
      </w:r>
      <w:r w:rsidR="00F77AD4">
        <w:rPr>
          <w:sz w:val="26"/>
          <w:szCs w:val="26"/>
        </w:rPr>
        <w:t xml:space="preserve"> Cost Allocation</w:t>
      </w:r>
      <w:r w:rsidR="00851503">
        <w:rPr>
          <w:sz w:val="26"/>
          <w:szCs w:val="26"/>
        </w:rPr>
        <w:t xml:space="preserve"> </w:t>
      </w:r>
      <w:r w:rsidR="00F77AD4">
        <w:rPr>
          <w:sz w:val="26"/>
          <w:szCs w:val="26"/>
        </w:rPr>
        <w:t xml:space="preserve">Methodologies </w:t>
      </w:r>
      <w:r w:rsidR="00851503">
        <w:rPr>
          <w:sz w:val="26"/>
          <w:szCs w:val="26"/>
        </w:rPr>
        <w:t>used by APUC</w:t>
      </w:r>
      <w:r w:rsidR="00425ECE" w:rsidRPr="000F1D3A">
        <w:rPr>
          <w:sz w:val="26"/>
          <w:szCs w:val="26"/>
        </w:rPr>
        <w:t>,</w:t>
      </w:r>
      <w:r w:rsidR="00425ECE">
        <w:rPr>
          <w:sz w:val="26"/>
          <w:szCs w:val="26"/>
        </w:rPr>
        <w:t xml:space="preserve"> LUC</w:t>
      </w:r>
      <w:r w:rsidR="00425ECE" w:rsidRPr="000F1D3A">
        <w:rPr>
          <w:sz w:val="26"/>
          <w:szCs w:val="26"/>
        </w:rPr>
        <w:t xml:space="preserve"> and the </w:t>
      </w:r>
      <w:r w:rsidR="000F1D3A">
        <w:rPr>
          <w:sz w:val="26"/>
          <w:szCs w:val="26"/>
        </w:rPr>
        <w:t>S</w:t>
      </w:r>
      <w:r w:rsidR="00425ECE" w:rsidRPr="000F1D3A">
        <w:rPr>
          <w:sz w:val="26"/>
          <w:szCs w:val="26"/>
        </w:rPr>
        <w:t xml:space="preserve">ervice </w:t>
      </w:r>
      <w:r w:rsidR="000F1D3A">
        <w:rPr>
          <w:sz w:val="26"/>
          <w:szCs w:val="26"/>
        </w:rPr>
        <w:t>C</w:t>
      </w:r>
      <w:r w:rsidR="00425ECE" w:rsidRPr="000F1D3A">
        <w:rPr>
          <w:sz w:val="26"/>
          <w:szCs w:val="26"/>
        </w:rPr>
        <w:t>ompanies</w:t>
      </w:r>
      <w:r w:rsidR="00210768">
        <w:rPr>
          <w:sz w:val="26"/>
          <w:szCs w:val="26"/>
        </w:rPr>
        <w:t>.</w:t>
      </w:r>
      <w:r w:rsidR="00D70125" w:rsidRPr="009C45CD">
        <w:rPr>
          <w:sz w:val="26"/>
          <w:szCs w:val="26"/>
        </w:rPr>
        <w:t xml:space="preserve">  </w:t>
      </w:r>
      <w:r w:rsidR="00F77AD4">
        <w:rPr>
          <w:sz w:val="26"/>
          <w:szCs w:val="26"/>
        </w:rPr>
        <w:t>The following organization chart describes the relationships between the separate entities:</w:t>
      </w:r>
    </w:p>
    <w:p w:rsidR="00F77AD4" w:rsidRDefault="00F77AD4" w:rsidP="00FB2680">
      <w:pPr>
        <w:ind w:firstLine="720"/>
        <w:jc w:val="both"/>
        <w:rPr>
          <w:sz w:val="26"/>
          <w:szCs w:val="26"/>
        </w:rPr>
      </w:pPr>
    </w:p>
    <w:p w:rsidR="00E6399F" w:rsidRDefault="002F5743" w:rsidP="00E6399F">
      <w:pPr>
        <w:ind w:firstLine="720"/>
        <w:jc w:val="both"/>
        <w:rPr>
          <w:sz w:val="26"/>
          <w:szCs w:val="26"/>
        </w:rPr>
      </w:pPr>
      <w:r w:rsidRPr="00F23FF9">
        <w:rPr>
          <w:noProof/>
          <w:szCs w:val="26"/>
        </w:rPr>
        <w:drawing>
          <wp:inline distT="0" distB="0" distL="0" distR="0">
            <wp:extent cx="5334000" cy="3162300"/>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E6399F" w:rsidRDefault="00E6399F" w:rsidP="00E6399F">
      <w:pPr>
        <w:ind w:firstLine="720"/>
        <w:jc w:val="both"/>
        <w:rPr>
          <w:sz w:val="26"/>
          <w:szCs w:val="26"/>
        </w:rPr>
      </w:pPr>
      <w:r>
        <w:rPr>
          <w:sz w:val="26"/>
          <w:szCs w:val="26"/>
        </w:rPr>
        <w:t xml:space="preserve">The following Cost Allocation Manual </w:t>
      </w:r>
      <w:r w:rsidR="000F1D3A">
        <w:rPr>
          <w:sz w:val="26"/>
          <w:szCs w:val="26"/>
        </w:rPr>
        <w:t xml:space="preserve">(“CAM”) </w:t>
      </w:r>
      <w:r>
        <w:rPr>
          <w:sz w:val="26"/>
          <w:szCs w:val="26"/>
        </w:rPr>
        <w:t xml:space="preserve">has been completed in accordance and conformance with the “NARUC Guidelines for Cost Allocations and Affiliate Transactions”. </w:t>
      </w:r>
      <w:r w:rsidR="007365F5">
        <w:rPr>
          <w:sz w:val="26"/>
          <w:szCs w:val="26"/>
        </w:rPr>
        <w:t xml:space="preserve"> </w:t>
      </w:r>
      <w:r>
        <w:rPr>
          <w:sz w:val="26"/>
          <w:szCs w:val="26"/>
        </w:rPr>
        <w:t xml:space="preserve">More specifically, the founding principles of this Cost Allocation Manual is to a) directly charge as much as possible to the entity that procures any specific service, and b) to ensure that inappropriate subsidization of unregulated activities by regulated activities and vice versa does not occur. </w:t>
      </w:r>
      <w:r w:rsidR="007365F5">
        <w:rPr>
          <w:sz w:val="26"/>
          <w:szCs w:val="26"/>
        </w:rPr>
        <w:t xml:space="preserve"> </w:t>
      </w:r>
      <w:r>
        <w:rPr>
          <w:sz w:val="26"/>
          <w:szCs w:val="26"/>
        </w:rPr>
        <w:t>For ease of reference, the NA</w:t>
      </w:r>
      <w:r w:rsidR="007F5DBF">
        <w:rPr>
          <w:sz w:val="26"/>
          <w:szCs w:val="26"/>
        </w:rPr>
        <w:t>RUC Guidelines are attached as Appendix</w:t>
      </w:r>
      <w:r>
        <w:rPr>
          <w:sz w:val="26"/>
          <w:szCs w:val="26"/>
        </w:rPr>
        <w:t xml:space="preserve"> 1.</w:t>
      </w:r>
    </w:p>
    <w:p w:rsidR="00591DF4" w:rsidRDefault="00591DF4" w:rsidP="00E6399F">
      <w:pPr>
        <w:ind w:firstLine="720"/>
        <w:jc w:val="both"/>
        <w:rPr>
          <w:sz w:val="26"/>
          <w:szCs w:val="26"/>
        </w:rPr>
      </w:pPr>
    </w:p>
    <w:p w:rsidR="00591DF4" w:rsidRPr="00591DF4" w:rsidRDefault="00591DF4" w:rsidP="00591DF4">
      <w:pPr>
        <w:widowControl w:val="0"/>
        <w:autoSpaceDE w:val="0"/>
        <w:autoSpaceDN w:val="0"/>
        <w:adjustRightInd w:val="0"/>
        <w:ind w:firstLine="709"/>
        <w:rPr>
          <w:sz w:val="26"/>
          <w:szCs w:val="26"/>
        </w:rPr>
      </w:pPr>
      <w:r w:rsidRPr="00591DF4">
        <w:rPr>
          <w:sz w:val="26"/>
          <w:szCs w:val="26"/>
        </w:rPr>
        <w:t>Costs charged and allocated pursuant to this CAM shall include direct labor, direct materials, direct purchased services associated with the related asset or services, and overhead amounts.</w:t>
      </w:r>
    </w:p>
    <w:p w:rsidR="00591DF4" w:rsidRPr="00591DF4" w:rsidRDefault="00591DF4" w:rsidP="00591DF4">
      <w:pPr>
        <w:widowControl w:val="0"/>
        <w:autoSpaceDE w:val="0"/>
        <w:autoSpaceDN w:val="0"/>
        <w:adjustRightInd w:val="0"/>
        <w:ind w:firstLine="709"/>
        <w:rPr>
          <w:sz w:val="26"/>
          <w:szCs w:val="26"/>
        </w:rPr>
      </w:pPr>
    </w:p>
    <w:p w:rsidR="00591DF4" w:rsidRPr="00591DF4" w:rsidRDefault="00591DF4" w:rsidP="00591DF4">
      <w:pPr>
        <w:pStyle w:val="ListParagraph"/>
        <w:widowControl w:val="0"/>
        <w:numPr>
          <w:ilvl w:val="0"/>
          <w:numId w:val="27"/>
        </w:numPr>
        <w:autoSpaceDE w:val="0"/>
        <w:autoSpaceDN w:val="0"/>
        <w:adjustRightInd w:val="0"/>
        <w:rPr>
          <w:sz w:val="26"/>
          <w:szCs w:val="26"/>
        </w:rPr>
      </w:pPr>
      <w:r w:rsidRPr="00591DF4">
        <w:rPr>
          <w:sz w:val="26"/>
          <w:szCs w:val="26"/>
        </w:rPr>
        <w:t>Tariffed rates or other pricing mechanisms established by rate setting authorities shall be used to provide all regulated services.</w:t>
      </w:r>
    </w:p>
    <w:p w:rsidR="00591DF4" w:rsidRPr="00591DF4" w:rsidRDefault="00591DF4" w:rsidP="00591DF4">
      <w:pPr>
        <w:pStyle w:val="ListParagraph"/>
        <w:widowControl w:val="0"/>
        <w:numPr>
          <w:ilvl w:val="0"/>
          <w:numId w:val="27"/>
        </w:numPr>
        <w:autoSpaceDE w:val="0"/>
        <w:autoSpaceDN w:val="0"/>
        <w:adjustRightInd w:val="0"/>
        <w:rPr>
          <w:sz w:val="26"/>
          <w:szCs w:val="26"/>
        </w:rPr>
      </w:pPr>
      <w:r w:rsidRPr="00591DF4">
        <w:rPr>
          <w:sz w:val="26"/>
          <w:szCs w:val="26"/>
        </w:rPr>
        <w:t>Services not covered by (ii) shall be charged by the providing party to the receiving party at fully distributed cost.</w:t>
      </w:r>
    </w:p>
    <w:p w:rsidR="00591DF4" w:rsidRPr="00591DF4" w:rsidRDefault="00591DF4" w:rsidP="00591DF4">
      <w:pPr>
        <w:pStyle w:val="ListParagraph"/>
        <w:widowControl w:val="0"/>
        <w:numPr>
          <w:ilvl w:val="0"/>
          <w:numId w:val="27"/>
        </w:numPr>
        <w:autoSpaceDE w:val="0"/>
        <w:autoSpaceDN w:val="0"/>
        <w:adjustRightInd w:val="0"/>
        <w:rPr>
          <w:sz w:val="26"/>
          <w:szCs w:val="26"/>
        </w:rPr>
      </w:pPr>
      <w:r w:rsidRPr="00591DF4">
        <w:rPr>
          <w:sz w:val="26"/>
          <w:szCs w:val="26"/>
        </w:rPr>
        <w:t>Facilities and administrative services rendered to a rate-regulated subsidiary shall be charged on the following basis:</w:t>
      </w:r>
    </w:p>
    <w:p w:rsidR="00591DF4" w:rsidRPr="00591DF4" w:rsidRDefault="00591DF4" w:rsidP="00591DF4">
      <w:pPr>
        <w:pStyle w:val="ListParagraph"/>
        <w:ind w:left="1647"/>
        <w:rPr>
          <w:sz w:val="26"/>
          <w:szCs w:val="26"/>
        </w:rPr>
      </w:pPr>
    </w:p>
    <w:p w:rsidR="00591DF4" w:rsidRPr="008B3490" w:rsidRDefault="00591DF4" w:rsidP="00591DF4">
      <w:pPr>
        <w:pStyle w:val="ListParagraph"/>
        <w:ind w:left="2367"/>
        <w:rPr>
          <w:sz w:val="26"/>
          <w:szCs w:val="26"/>
        </w:rPr>
      </w:pPr>
      <w:r w:rsidRPr="00591DF4">
        <w:rPr>
          <w:sz w:val="26"/>
          <w:szCs w:val="26"/>
        </w:rPr>
        <w:t>(1) the prevailing price for which the service is provided for sale to the general public by the providing party (i.e., the price charged to non-affiliates if such transactions with non-affiliates constitute a substantial portion of the providing party’s total revenues from such transactions) or, if no such prevailing price exists, (2) an amount not to exceed the fully distributed cost incurred by the providing party in providing such service to the receiving party.</w:t>
      </w:r>
    </w:p>
    <w:p w:rsidR="007F70FA" w:rsidRPr="00AF731A" w:rsidRDefault="007F70FA" w:rsidP="005F3A0B">
      <w:pPr>
        <w:pStyle w:val="Heading1"/>
        <w:numPr>
          <w:ilvl w:val="0"/>
          <w:numId w:val="7"/>
        </w:numPr>
        <w:ind w:left="851" w:hanging="567"/>
        <w:rPr>
          <w:caps/>
          <w:color w:val="auto"/>
        </w:rPr>
      </w:pPr>
      <w:bookmarkStart w:id="1" w:name="_Toc310250953"/>
      <w:r w:rsidRPr="00AF731A">
        <w:rPr>
          <w:caps/>
          <w:color w:val="auto"/>
        </w:rPr>
        <w:t>The APUC</w:t>
      </w:r>
      <w:r w:rsidR="000E6C2E" w:rsidRPr="00AF731A">
        <w:rPr>
          <w:caps/>
          <w:color w:val="auto"/>
        </w:rPr>
        <w:t xml:space="preserve"> Corporate Structure</w:t>
      </w:r>
      <w:bookmarkEnd w:id="1"/>
    </w:p>
    <w:p w:rsidR="009647F5" w:rsidRDefault="009647F5" w:rsidP="00740437">
      <w:pPr>
        <w:ind w:firstLine="720"/>
        <w:jc w:val="both"/>
        <w:rPr>
          <w:sz w:val="26"/>
          <w:szCs w:val="26"/>
        </w:rPr>
      </w:pPr>
    </w:p>
    <w:p w:rsidR="004D0859" w:rsidRDefault="00552337" w:rsidP="00740437">
      <w:pPr>
        <w:ind w:firstLine="720"/>
        <w:jc w:val="both"/>
        <w:rPr>
          <w:sz w:val="26"/>
          <w:szCs w:val="26"/>
        </w:rPr>
      </w:pPr>
      <w:r w:rsidRPr="009C45CD">
        <w:rPr>
          <w:sz w:val="26"/>
          <w:szCs w:val="26"/>
        </w:rPr>
        <w:t>AP</w:t>
      </w:r>
      <w:r>
        <w:rPr>
          <w:sz w:val="26"/>
          <w:szCs w:val="26"/>
        </w:rPr>
        <w:t>UC</w:t>
      </w:r>
      <w:r w:rsidR="00F77AD4">
        <w:rPr>
          <w:sz w:val="26"/>
          <w:szCs w:val="26"/>
        </w:rPr>
        <w:t>’s</w:t>
      </w:r>
      <w:r w:rsidRPr="009C45CD">
        <w:rPr>
          <w:sz w:val="26"/>
          <w:szCs w:val="26"/>
        </w:rPr>
        <w:t xml:space="preserve"> </w:t>
      </w:r>
      <w:r w:rsidR="004D0859" w:rsidRPr="009C45CD">
        <w:rPr>
          <w:sz w:val="26"/>
          <w:szCs w:val="26"/>
        </w:rPr>
        <w:t xml:space="preserve">primary business is </w:t>
      </w:r>
      <w:r w:rsidR="00B80568">
        <w:rPr>
          <w:sz w:val="26"/>
          <w:szCs w:val="26"/>
        </w:rPr>
        <w:t>direct interest or equity</w:t>
      </w:r>
      <w:r w:rsidR="00B652BB">
        <w:rPr>
          <w:sz w:val="26"/>
          <w:szCs w:val="26"/>
        </w:rPr>
        <w:t xml:space="preserve"> ownership</w:t>
      </w:r>
      <w:r w:rsidR="00B80568">
        <w:rPr>
          <w:sz w:val="26"/>
          <w:szCs w:val="26"/>
        </w:rPr>
        <w:t xml:space="preserve"> in renewable and thermal power</w:t>
      </w:r>
      <w:r w:rsidR="00F54169">
        <w:rPr>
          <w:sz w:val="26"/>
          <w:szCs w:val="26"/>
        </w:rPr>
        <w:t xml:space="preserve"> </w:t>
      </w:r>
      <w:r w:rsidR="004D0859" w:rsidRPr="009C45CD">
        <w:rPr>
          <w:color w:val="000000"/>
          <w:sz w:val="26"/>
          <w:szCs w:val="26"/>
        </w:rPr>
        <w:t>generating</w:t>
      </w:r>
      <w:r w:rsidR="00F54169">
        <w:rPr>
          <w:color w:val="000000"/>
          <w:sz w:val="26"/>
          <w:szCs w:val="26"/>
        </w:rPr>
        <w:t xml:space="preserve"> </w:t>
      </w:r>
      <w:r w:rsidR="00B80568">
        <w:rPr>
          <w:color w:val="000000"/>
          <w:sz w:val="26"/>
          <w:szCs w:val="26"/>
        </w:rPr>
        <w:t>f</w:t>
      </w:r>
      <w:r w:rsidR="004D0859" w:rsidRPr="009C45CD">
        <w:rPr>
          <w:color w:val="000000"/>
          <w:sz w:val="26"/>
          <w:szCs w:val="26"/>
        </w:rPr>
        <w:t>acilities</w:t>
      </w:r>
      <w:r w:rsidR="00B80568">
        <w:rPr>
          <w:color w:val="000000"/>
          <w:sz w:val="26"/>
          <w:szCs w:val="26"/>
        </w:rPr>
        <w:t xml:space="preserve"> and regulated utilities.</w:t>
      </w:r>
      <w:r w:rsidR="007365F5">
        <w:rPr>
          <w:color w:val="000000"/>
          <w:sz w:val="26"/>
          <w:szCs w:val="26"/>
        </w:rPr>
        <w:t xml:space="preserve"> </w:t>
      </w:r>
      <w:r w:rsidR="004D0859" w:rsidRPr="009C45CD">
        <w:rPr>
          <w:color w:val="000000"/>
          <w:sz w:val="26"/>
          <w:szCs w:val="26"/>
        </w:rPr>
        <w:t xml:space="preserve"> </w:t>
      </w:r>
      <w:r w:rsidR="00075ED0">
        <w:rPr>
          <w:color w:val="000000"/>
          <w:sz w:val="26"/>
          <w:szCs w:val="26"/>
        </w:rPr>
        <w:t>APUC</w:t>
      </w:r>
      <w:r w:rsidR="004D0859" w:rsidRPr="009C45CD">
        <w:rPr>
          <w:color w:val="000000"/>
          <w:sz w:val="26"/>
          <w:szCs w:val="26"/>
        </w:rPr>
        <w:t xml:space="preserve"> owns a </w:t>
      </w:r>
      <w:r w:rsidR="00662FC7" w:rsidRPr="009C45CD">
        <w:rPr>
          <w:color w:val="000000"/>
          <w:sz w:val="26"/>
          <w:szCs w:val="26"/>
        </w:rPr>
        <w:t>widely diversified</w:t>
      </w:r>
      <w:r w:rsidR="004D0859" w:rsidRPr="009C45CD">
        <w:rPr>
          <w:color w:val="000000"/>
          <w:sz w:val="26"/>
          <w:szCs w:val="26"/>
        </w:rPr>
        <w:t xml:space="preserve"> portfolio of </w:t>
      </w:r>
      <w:r>
        <w:rPr>
          <w:sz w:val="26"/>
          <w:szCs w:val="26"/>
        </w:rPr>
        <w:t xml:space="preserve">independent power production facilities and regulated utilities consisting of </w:t>
      </w:r>
      <w:r w:rsidR="004D0859" w:rsidRPr="009C45CD">
        <w:rPr>
          <w:sz w:val="26"/>
          <w:szCs w:val="26"/>
        </w:rPr>
        <w:t xml:space="preserve">water distribution and wastewater treatment facilities </w:t>
      </w:r>
      <w:r>
        <w:rPr>
          <w:sz w:val="26"/>
          <w:szCs w:val="26"/>
        </w:rPr>
        <w:t xml:space="preserve">and electric </w:t>
      </w:r>
      <w:r w:rsidR="00E6399F">
        <w:rPr>
          <w:sz w:val="26"/>
          <w:szCs w:val="26"/>
        </w:rPr>
        <w:t xml:space="preserve">and gas </w:t>
      </w:r>
      <w:r>
        <w:rPr>
          <w:sz w:val="26"/>
          <w:szCs w:val="26"/>
        </w:rPr>
        <w:t>utilit</w:t>
      </w:r>
      <w:r w:rsidR="00E6399F">
        <w:rPr>
          <w:sz w:val="26"/>
          <w:szCs w:val="26"/>
        </w:rPr>
        <w:t>ies</w:t>
      </w:r>
      <w:r>
        <w:rPr>
          <w:sz w:val="26"/>
          <w:szCs w:val="26"/>
        </w:rPr>
        <w:t xml:space="preserve"> in </w:t>
      </w:r>
      <w:r w:rsidR="00326214">
        <w:rPr>
          <w:sz w:val="26"/>
          <w:szCs w:val="26"/>
        </w:rPr>
        <w:t>Canada and</w:t>
      </w:r>
      <w:r w:rsidR="004D0859" w:rsidRPr="009C45CD">
        <w:rPr>
          <w:sz w:val="26"/>
          <w:szCs w:val="26"/>
        </w:rPr>
        <w:t xml:space="preserve"> the United States.</w:t>
      </w:r>
      <w:r w:rsidR="00326214">
        <w:rPr>
          <w:sz w:val="26"/>
          <w:szCs w:val="26"/>
        </w:rPr>
        <w:t xml:space="preserve"> </w:t>
      </w:r>
      <w:r w:rsidR="001A6B80">
        <w:rPr>
          <w:sz w:val="26"/>
          <w:szCs w:val="26"/>
        </w:rPr>
        <w:t xml:space="preserve"> </w:t>
      </w:r>
      <w:r w:rsidR="00075ED0">
        <w:rPr>
          <w:sz w:val="26"/>
          <w:szCs w:val="26"/>
        </w:rPr>
        <w:t>APUC</w:t>
      </w:r>
      <w:r w:rsidR="004D0859" w:rsidRPr="009C45CD">
        <w:rPr>
          <w:sz w:val="26"/>
          <w:szCs w:val="26"/>
        </w:rPr>
        <w:t xml:space="preserve"> is publicly traded on the Toronto Stock Exchange.  </w:t>
      </w:r>
      <w:r>
        <w:rPr>
          <w:sz w:val="26"/>
          <w:szCs w:val="26"/>
        </w:rPr>
        <w:t>Its</w:t>
      </w:r>
      <w:r w:rsidR="004D0859" w:rsidRPr="009C45CD">
        <w:rPr>
          <w:sz w:val="26"/>
          <w:szCs w:val="26"/>
        </w:rPr>
        <w:t xml:space="preserve"> structure as a publicly traded </w:t>
      </w:r>
      <w:r w:rsidR="00B652BB">
        <w:rPr>
          <w:sz w:val="26"/>
          <w:szCs w:val="26"/>
        </w:rPr>
        <w:t xml:space="preserve">holding </w:t>
      </w:r>
      <w:r w:rsidR="007F70FA">
        <w:rPr>
          <w:sz w:val="26"/>
          <w:szCs w:val="26"/>
        </w:rPr>
        <w:t>company</w:t>
      </w:r>
      <w:r w:rsidR="004D0859" w:rsidRPr="009C45CD">
        <w:rPr>
          <w:sz w:val="26"/>
          <w:szCs w:val="26"/>
        </w:rPr>
        <w:t xml:space="preserve"> provides substantial benefits to its </w:t>
      </w:r>
      <w:r w:rsidR="00FB3945">
        <w:rPr>
          <w:sz w:val="26"/>
          <w:szCs w:val="26"/>
        </w:rPr>
        <w:t>r</w:t>
      </w:r>
      <w:r w:rsidR="004D0859" w:rsidRPr="009C45CD">
        <w:rPr>
          <w:sz w:val="26"/>
          <w:szCs w:val="26"/>
        </w:rPr>
        <w:t xml:space="preserve">egulated </w:t>
      </w:r>
      <w:r w:rsidR="00FB3945">
        <w:rPr>
          <w:sz w:val="26"/>
          <w:szCs w:val="26"/>
        </w:rPr>
        <w:t>u</w:t>
      </w:r>
      <w:r w:rsidR="004D0859" w:rsidRPr="009C45CD">
        <w:rPr>
          <w:sz w:val="26"/>
          <w:szCs w:val="26"/>
        </w:rPr>
        <w:t>tilities through access to capital markets and access to engineers, technicians, professional managers</w:t>
      </w:r>
      <w:r>
        <w:rPr>
          <w:sz w:val="26"/>
          <w:szCs w:val="26"/>
        </w:rPr>
        <w:t xml:space="preserve">, </w:t>
      </w:r>
      <w:r w:rsidR="004D0859" w:rsidRPr="009C45CD">
        <w:rPr>
          <w:sz w:val="26"/>
          <w:szCs w:val="26"/>
        </w:rPr>
        <w:t>and admin</w:t>
      </w:r>
      <w:r w:rsidR="00851684" w:rsidRPr="009C45CD">
        <w:rPr>
          <w:sz w:val="26"/>
          <w:szCs w:val="26"/>
        </w:rPr>
        <w:t>istrative staff</w:t>
      </w:r>
      <w:r w:rsidR="007136D8">
        <w:rPr>
          <w:sz w:val="26"/>
          <w:szCs w:val="26"/>
        </w:rPr>
        <w:t>,</w:t>
      </w:r>
      <w:r w:rsidR="00851684" w:rsidRPr="009C45CD">
        <w:rPr>
          <w:sz w:val="26"/>
          <w:szCs w:val="26"/>
        </w:rPr>
        <w:t xml:space="preserve"> including</w:t>
      </w:r>
      <w:r w:rsidR="004D0859" w:rsidRPr="009C45CD">
        <w:rPr>
          <w:sz w:val="26"/>
          <w:szCs w:val="26"/>
        </w:rPr>
        <w:t xml:space="preserve"> trained plant operators and field supervisors. </w:t>
      </w:r>
    </w:p>
    <w:p w:rsidR="00740437" w:rsidRDefault="00740437" w:rsidP="009647F5">
      <w:pPr>
        <w:pStyle w:val="BodyText"/>
        <w:spacing w:after="0"/>
        <w:ind w:left="0" w:firstLine="720"/>
        <w:rPr>
          <w:szCs w:val="26"/>
        </w:rPr>
      </w:pPr>
    </w:p>
    <w:p w:rsidR="006B16B4" w:rsidRPr="008776BE" w:rsidRDefault="00A92625" w:rsidP="008776BE">
      <w:pPr>
        <w:pStyle w:val="BodyText"/>
        <w:ind w:left="0" w:firstLine="720"/>
        <w:rPr>
          <w:szCs w:val="26"/>
        </w:rPr>
      </w:pPr>
      <w:r>
        <w:rPr>
          <w:szCs w:val="26"/>
        </w:rPr>
        <w:t>APUC</w:t>
      </w:r>
      <w:r w:rsidR="005E09CA" w:rsidRPr="009C45CD">
        <w:rPr>
          <w:szCs w:val="26"/>
        </w:rPr>
        <w:t xml:space="preserve"> is the </w:t>
      </w:r>
      <w:r w:rsidR="00B652BB">
        <w:rPr>
          <w:szCs w:val="26"/>
        </w:rPr>
        <w:t xml:space="preserve">ultimate </w:t>
      </w:r>
      <w:r w:rsidR="006F4BD2">
        <w:rPr>
          <w:szCs w:val="26"/>
        </w:rPr>
        <w:t xml:space="preserve">corporate parent and </w:t>
      </w:r>
      <w:r w:rsidR="005E09CA" w:rsidRPr="009C45CD">
        <w:rPr>
          <w:szCs w:val="26"/>
        </w:rPr>
        <w:t xml:space="preserve">affiliate that provides financial, strategic management, </w:t>
      </w:r>
      <w:r w:rsidR="00E6399F">
        <w:rPr>
          <w:szCs w:val="26"/>
        </w:rPr>
        <w:t>corporate governance</w:t>
      </w:r>
      <w:r w:rsidR="005E09CA" w:rsidRPr="009C45CD">
        <w:rPr>
          <w:szCs w:val="26"/>
        </w:rPr>
        <w:t>, administrat</w:t>
      </w:r>
      <w:r w:rsidR="006F4BD2">
        <w:rPr>
          <w:szCs w:val="26"/>
        </w:rPr>
        <w:t xml:space="preserve">ive and support services to </w:t>
      </w:r>
      <w:r w:rsidR="005E09CA" w:rsidRPr="009C45CD">
        <w:rPr>
          <w:szCs w:val="26"/>
        </w:rPr>
        <w:t>L</w:t>
      </w:r>
      <w:r w:rsidR="009C065B">
        <w:rPr>
          <w:szCs w:val="26"/>
        </w:rPr>
        <w:t>U</w:t>
      </w:r>
      <w:r w:rsidR="001D3D38">
        <w:rPr>
          <w:szCs w:val="26"/>
        </w:rPr>
        <w:t>C and its subsidiaries</w:t>
      </w:r>
      <w:r w:rsidR="005E09CA" w:rsidRPr="009C45CD">
        <w:rPr>
          <w:szCs w:val="26"/>
        </w:rPr>
        <w:t xml:space="preserve"> as well as to the numerous unregulated utility assets</w:t>
      </w:r>
      <w:r w:rsidR="006F4BD2">
        <w:rPr>
          <w:szCs w:val="26"/>
        </w:rPr>
        <w:t xml:space="preserve"> </w:t>
      </w:r>
      <w:r w:rsidR="001D3D38">
        <w:rPr>
          <w:szCs w:val="26"/>
        </w:rPr>
        <w:t xml:space="preserve">held by </w:t>
      </w:r>
      <w:proofErr w:type="spellStart"/>
      <w:r w:rsidR="001D3D38">
        <w:rPr>
          <w:szCs w:val="26"/>
        </w:rPr>
        <w:t>APCo</w:t>
      </w:r>
      <w:proofErr w:type="spellEnd"/>
      <w:r w:rsidR="009C065B">
        <w:rPr>
          <w:szCs w:val="26"/>
        </w:rPr>
        <w:t xml:space="preserve">. </w:t>
      </w:r>
      <w:r w:rsidR="001A6B80">
        <w:rPr>
          <w:szCs w:val="26"/>
        </w:rPr>
        <w:t xml:space="preserve"> </w:t>
      </w:r>
      <w:r w:rsidR="005E09CA" w:rsidRPr="009C45CD">
        <w:rPr>
          <w:szCs w:val="26"/>
        </w:rPr>
        <w:t xml:space="preserve">The services provided by </w:t>
      </w:r>
      <w:r w:rsidR="005E09CA">
        <w:rPr>
          <w:szCs w:val="26"/>
        </w:rPr>
        <w:t>AP</w:t>
      </w:r>
      <w:r w:rsidR="009C065B">
        <w:rPr>
          <w:szCs w:val="26"/>
        </w:rPr>
        <w:t>U</w:t>
      </w:r>
      <w:r w:rsidR="005E09CA">
        <w:rPr>
          <w:szCs w:val="26"/>
        </w:rPr>
        <w:t>C</w:t>
      </w:r>
      <w:r w:rsidR="005E09CA" w:rsidRPr="009C45CD">
        <w:rPr>
          <w:szCs w:val="26"/>
        </w:rPr>
        <w:t xml:space="preserve"> are necessary </w:t>
      </w:r>
      <w:r w:rsidR="008776BE">
        <w:rPr>
          <w:szCs w:val="26"/>
        </w:rPr>
        <w:t>for</w:t>
      </w:r>
      <w:r w:rsidR="005E09CA" w:rsidRPr="009C45CD">
        <w:rPr>
          <w:szCs w:val="26"/>
        </w:rPr>
        <w:t xml:space="preserve"> </w:t>
      </w:r>
      <w:r w:rsidR="00AF731A">
        <w:rPr>
          <w:szCs w:val="26"/>
        </w:rPr>
        <w:t xml:space="preserve">LUC and its subsidiaries </w:t>
      </w:r>
      <w:r w:rsidR="005E09CA" w:rsidRPr="009C45CD">
        <w:rPr>
          <w:szCs w:val="26"/>
        </w:rPr>
        <w:t xml:space="preserve">to have access to capital markets for capital projects and operations, and are necessary </w:t>
      </w:r>
      <w:r w:rsidR="00067ECF">
        <w:rPr>
          <w:szCs w:val="26"/>
        </w:rPr>
        <w:t>in</w:t>
      </w:r>
      <w:r w:rsidR="005E09CA" w:rsidRPr="009C45CD">
        <w:rPr>
          <w:szCs w:val="26"/>
        </w:rPr>
        <w:t xml:space="preserve"> provid</w:t>
      </w:r>
      <w:r w:rsidR="00067ECF">
        <w:rPr>
          <w:szCs w:val="26"/>
        </w:rPr>
        <w:t>ing</w:t>
      </w:r>
      <w:r w:rsidR="005E09CA" w:rsidRPr="009C45CD">
        <w:rPr>
          <w:szCs w:val="26"/>
        </w:rPr>
        <w:t xml:space="preserve"> a high level of </w:t>
      </w:r>
      <w:r w:rsidR="000D2B1A">
        <w:rPr>
          <w:szCs w:val="26"/>
        </w:rPr>
        <w:t xml:space="preserve">shared </w:t>
      </w:r>
      <w:r w:rsidR="005E09CA" w:rsidRPr="009C45CD">
        <w:rPr>
          <w:szCs w:val="26"/>
        </w:rPr>
        <w:t>service</w:t>
      </w:r>
      <w:r w:rsidR="000D2B1A">
        <w:rPr>
          <w:szCs w:val="26"/>
        </w:rPr>
        <w:t>s</w:t>
      </w:r>
      <w:r w:rsidR="005E09CA" w:rsidRPr="009C45CD">
        <w:rPr>
          <w:szCs w:val="26"/>
        </w:rPr>
        <w:t xml:space="preserve"> at the lowest cost. </w:t>
      </w:r>
      <w:r w:rsidR="008776BE">
        <w:rPr>
          <w:szCs w:val="26"/>
        </w:rPr>
        <w:t xml:space="preserve"> </w:t>
      </w:r>
      <w:r w:rsidR="005E09CA">
        <w:rPr>
          <w:szCs w:val="26"/>
        </w:rPr>
        <w:t>These services a</w:t>
      </w:r>
      <w:r w:rsidR="006F4BD2">
        <w:rPr>
          <w:szCs w:val="26"/>
        </w:rPr>
        <w:t>re expensed at</w:t>
      </w:r>
      <w:r w:rsidR="005E09CA">
        <w:rPr>
          <w:szCs w:val="26"/>
        </w:rPr>
        <w:t xml:space="preserve"> AP</w:t>
      </w:r>
      <w:r w:rsidR="00067ECF">
        <w:rPr>
          <w:szCs w:val="26"/>
        </w:rPr>
        <w:t>U</w:t>
      </w:r>
      <w:r w:rsidR="005E09CA">
        <w:rPr>
          <w:szCs w:val="26"/>
        </w:rPr>
        <w:t xml:space="preserve">C and are performed for the benefit of </w:t>
      </w:r>
      <w:proofErr w:type="spellStart"/>
      <w:r w:rsidR="00AF731A">
        <w:rPr>
          <w:szCs w:val="26"/>
        </w:rPr>
        <w:t>APCo</w:t>
      </w:r>
      <w:proofErr w:type="spellEnd"/>
      <w:r w:rsidR="00AF731A">
        <w:rPr>
          <w:szCs w:val="26"/>
        </w:rPr>
        <w:t xml:space="preserve"> and</w:t>
      </w:r>
      <w:r w:rsidR="00067ECF">
        <w:rPr>
          <w:szCs w:val="26"/>
        </w:rPr>
        <w:t xml:space="preserve"> L</w:t>
      </w:r>
      <w:r w:rsidR="00AF731A">
        <w:rPr>
          <w:szCs w:val="26"/>
        </w:rPr>
        <w:t>U</w:t>
      </w:r>
      <w:r w:rsidR="00067ECF">
        <w:rPr>
          <w:szCs w:val="26"/>
        </w:rPr>
        <w:t>C</w:t>
      </w:r>
      <w:r w:rsidR="00AF731A">
        <w:rPr>
          <w:szCs w:val="26"/>
        </w:rPr>
        <w:t xml:space="preserve"> </w:t>
      </w:r>
      <w:r w:rsidR="00067ECF">
        <w:rPr>
          <w:szCs w:val="26"/>
        </w:rPr>
        <w:t xml:space="preserve">and </w:t>
      </w:r>
      <w:r w:rsidR="00AF731A">
        <w:rPr>
          <w:szCs w:val="26"/>
        </w:rPr>
        <w:t>their</w:t>
      </w:r>
      <w:r w:rsidR="00067ECF">
        <w:rPr>
          <w:szCs w:val="26"/>
        </w:rPr>
        <w:t xml:space="preserve"> respective</w:t>
      </w:r>
      <w:r w:rsidR="001A73D8">
        <w:rPr>
          <w:szCs w:val="26"/>
        </w:rPr>
        <w:t xml:space="preserve"> businesses</w:t>
      </w:r>
      <w:r w:rsidR="00067ECF">
        <w:rPr>
          <w:szCs w:val="26"/>
        </w:rPr>
        <w:t>.</w:t>
      </w:r>
      <w:r w:rsidR="005E09CA">
        <w:rPr>
          <w:szCs w:val="26"/>
        </w:rPr>
        <w:t xml:space="preserve"> </w:t>
      </w:r>
    </w:p>
    <w:p w:rsidR="000E6C2E" w:rsidRDefault="0049025E" w:rsidP="000E6C2E">
      <w:pPr>
        <w:pStyle w:val="BodyText"/>
        <w:ind w:left="0" w:firstLine="720"/>
        <w:jc w:val="left"/>
        <w:rPr>
          <w:szCs w:val="26"/>
        </w:rPr>
      </w:pPr>
      <w:r w:rsidRPr="00FB3945">
        <w:rPr>
          <w:szCs w:val="26"/>
        </w:rPr>
        <w:t>APUC</w:t>
      </w:r>
      <w:r w:rsidR="00851503">
        <w:rPr>
          <w:szCs w:val="26"/>
        </w:rPr>
        <w:t xml:space="preserve"> and its affiliates </w:t>
      </w:r>
      <w:r w:rsidR="001A6B80">
        <w:rPr>
          <w:szCs w:val="26"/>
        </w:rPr>
        <w:t xml:space="preserve">capitalize on APUC’s </w:t>
      </w:r>
      <w:r w:rsidR="0011495D">
        <w:rPr>
          <w:szCs w:val="26"/>
        </w:rPr>
        <w:t xml:space="preserve">expertise and access to the capital markets </w:t>
      </w:r>
      <w:r w:rsidR="001A6B80">
        <w:rPr>
          <w:szCs w:val="26"/>
        </w:rPr>
        <w:t xml:space="preserve">through the use of certain </w:t>
      </w:r>
      <w:r w:rsidR="00851503">
        <w:rPr>
          <w:szCs w:val="26"/>
        </w:rPr>
        <w:t>shared services</w:t>
      </w:r>
      <w:r w:rsidR="0011495D">
        <w:rPr>
          <w:szCs w:val="26"/>
        </w:rPr>
        <w:t xml:space="preserve">, which </w:t>
      </w:r>
      <w:r w:rsidR="00851503">
        <w:rPr>
          <w:szCs w:val="26"/>
        </w:rPr>
        <w:t>maximize</w:t>
      </w:r>
      <w:r w:rsidR="0011495D">
        <w:rPr>
          <w:szCs w:val="26"/>
        </w:rPr>
        <w:t>s</w:t>
      </w:r>
      <w:r w:rsidR="00851503">
        <w:rPr>
          <w:szCs w:val="26"/>
        </w:rPr>
        <w:t xml:space="preserve"> economies of scale and minimize</w:t>
      </w:r>
      <w:r w:rsidR="0011495D">
        <w:rPr>
          <w:szCs w:val="26"/>
        </w:rPr>
        <w:t>s</w:t>
      </w:r>
      <w:r w:rsidR="00851503">
        <w:rPr>
          <w:szCs w:val="26"/>
        </w:rPr>
        <w:t xml:space="preserve"> redundancy.</w:t>
      </w:r>
      <w:r w:rsidR="0011495D">
        <w:rPr>
          <w:szCs w:val="26"/>
        </w:rPr>
        <w:t xml:space="preserve"> </w:t>
      </w:r>
      <w:r w:rsidR="00851503">
        <w:rPr>
          <w:szCs w:val="26"/>
        </w:rPr>
        <w:t xml:space="preserve"> In short, it provides for maximum expertise at lower costs. </w:t>
      </w:r>
      <w:r w:rsidR="0011495D">
        <w:rPr>
          <w:szCs w:val="26"/>
        </w:rPr>
        <w:t xml:space="preserve"> </w:t>
      </w:r>
      <w:r w:rsidR="00851503">
        <w:rPr>
          <w:szCs w:val="26"/>
        </w:rPr>
        <w:t>Further, t</w:t>
      </w:r>
      <w:r w:rsidRPr="00FB3945">
        <w:rPr>
          <w:szCs w:val="26"/>
        </w:rPr>
        <w:t xml:space="preserve">he use of shared expertise allows each of the entities to receive a benefit they may not be able to </w:t>
      </w:r>
      <w:r w:rsidR="0011495D">
        <w:rPr>
          <w:szCs w:val="26"/>
        </w:rPr>
        <w:t>achieve</w:t>
      </w:r>
      <w:r w:rsidR="0011495D" w:rsidRPr="00FB3945">
        <w:rPr>
          <w:szCs w:val="26"/>
        </w:rPr>
        <w:t xml:space="preserve"> </w:t>
      </w:r>
      <w:r w:rsidRPr="00FB3945">
        <w:rPr>
          <w:szCs w:val="26"/>
        </w:rPr>
        <w:t>on a standalone basis such as strategic manage</w:t>
      </w:r>
      <w:r w:rsidR="00F77AD4">
        <w:rPr>
          <w:szCs w:val="26"/>
        </w:rPr>
        <w:t>ment</w:t>
      </w:r>
      <w:r w:rsidRPr="00FB3945">
        <w:rPr>
          <w:szCs w:val="26"/>
        </w:rPr>
        <w:t xml:space="preserve"> </w:t>
      </w:r>
      <w:proofErr w:type="gramStart"/>
      <w:r w:rsidR="0011495D">
        <w:rPr>
          <w:szCs w:val="26"/>
        </w:rPr>
        <w:t>advise</w:t>
      </w:r>
      <w:proofErr w:type="gramEnd"/>
      <w:r w:rsidR="0011495D">
        <w:rPr>
          <w:szCs w:val="26"/>
        </w:rPr>
        <w:t xml:space="preserve"> </w:t>
      </w:r>
      <w:r w:rsidRPr="00FB3945">
        <w:rPr>
          <w:szCs w:val="26"/>
        </w:rPr>
        <w:t>and access to capital</w:t>
      </w:r>
      <w:r w:rsidR="0011495D">
        <w:rPr>
          <w:szCs w:val="26"/>
        </w:rPr>
        <w:t xml:space="preserve"> at more competitive rates</w:t>
      </w:r>
      <w:r w:rsidRPr="00FB3945">
        <w:rPr>
          <w:szCs w:val="26"/>
        </w:rPr>
        <w:t>.</w:t>
      </w:r>
    </w:p>
    <w:p w:rsidR="002F5743" w:rsidRPr="00F23FF9" w:rsidRDefault="000B7C38" w:rsidP="00F23FF9">
      <w:pPr>
        <w:pStyle w:val="Heading1"/>
        <w:numPr>
          <w:ilvl w:val="0"/>
          <w:numId w:val="7"/>
        </w:numPr>
        <w:ind w:left="851" w:hanging="567"/>
      </w:pPr>
      <w:bookmarkStart w:id="2" w:name="_Toc310250954"/>
      <w:r w:rsidRPr="00E00A18">
        <w:rPr>
          <w:caps/>
          <w:color w:val="auto"/>
        </w:rPr>
        <w:t>Scope of Services provided by APUC to its subsidiaries</w:t>
      </w:r>
      <w:r w:rsidR="0062434A" w:rsidRPr="00E00A18">
        <w:rPr>
          <w:caps/>
          <w:color w:val="auto"/>
        </w:rPr>
        <w:t xml:space="preserve"> and how those costs are allocated</w:t>
      </w:r>
      <w:bookmarkEnd w:id="2"/>
      <w:r w:rsidR="00001179">
        <w:t xml:space="preserve"> </w:t>
      </w:r>
    </w:p>
    <w:p w:rsidR="000B4126" w:rsidRDefault="000B4126" w:rsidP="00F949F8">
      <w:pPr>
        <w:pStyle w:val="Subtitle"/>
        <w:numPr>
          <w:ilvl w:val="0"/>
          <w:numId w:val="19"/>
        </w:numPr>
      </w:pPr>
      <w:bookmarkStart w:id="3" w:name="_Toc310250955"/>
      <w:r w:rsidRPr="000B4126">
        <w:t xml:space="preserve">Non-Labor Services and Cost Allocation from APUC to LUC and </w:t>
      </w:r>
      <w:proofErr w:type="spellStart"/>
      <w:r w:rsidRPr="000B4126">
        <w:t>APCo</w:t>
      </w:r>
      <w:bookmarkEnd w:id="3"/>
      <w:proofErr w:type="spellEnd"/>
    </w:p>
    <w:p w:rsidR="00C74084" w:rsidRPr="00C74084" w:rsidRDefault="00C74084" w:rsidP="00C74084"/>
    <w:p w:rsidR="008776BE" w:rsidRPr="0011495D" w:rsidRDefault="008776BE" w:rsidP="008776BE">
      <w:pPr>
        <w:pStyle w:val="BodyText"/>
        <w:ind w:left="0" w:firstLine="720"/>
        <w:rPr>
          <w:szCs w:val="26"/>
        </w:rPr>
      </w:pPr>
      <w:r>
        <w:rPr>
          <w:szCs w:val="26"/>
        </w:rPr>
        <w:t>APUC</w:t>
      </w:r>
      <w:r w:rsidR="000B4126">
        <w:rPr>
          <w:szCs w:val="26"/>
        </w:rPr>
        <w:t xml:space="preserve">’s non-labor services include </w:t>
      </w:r>
      <w:r>
        <w:rPr>
          <w:szCs w:val="26"/>
        </w:rPr>
        <w:t xml:space="preserve">Financing Services and Administrative Services.  </w:t>
      </w:r>
      <w:r w:rsidRPr="0011495D">
        <w:rPr>
          <w:szCs w:val="26"/>
        </w:rPr>
        <w:t xml:space="preserve">As used herein “Financing Services” means the selling of units to public investors in order to generate the funding and capital necessary for LUC </w:t>
      </w:r>
      <w:r w:rsidR="00AF731A" w:rsidRPr="0011495D">
        <w:rPr>
          <w:szCs w:val="26"/>
        </w:rPr>
        <w:t xml:space="preserve">and </w:t>
      </w:r>
      <w:proofErr w:type="spellStart"/>
      <w:r w:rsidR="00AF731A" w:rsidRPr="0011495D">
        <w:rPr>
          <w:szCs w:val="26"/>
        </w:rPr>
        <w:t>APCo</w:t>
      </w:r>
      <w:proofErr w:type="spellEnd"/>
      <w:r w:rsidR="006F06A2" w:rsidRPr="0011495D">
        <w:rPr>
          <w:szCs w:val="26"/>
        </w:rPr>
        <w:t xml:space="preserve"> as well as providing legal and treasury services in connection with the issuance of public debt</w:t>
      </w:r>
      <w:r w:rsidRPr="0011495D">
        <w:rPr>
          <w:szCs w:val="26"/>
        </w:rPr>
        <w:t xml:space="preserve">.  As used herein “Administrative Services” includes the following types of services: strategic management services, corporate governance, and administration and management services such as consultation on management and administration of all aspects of utility business, including economic and strategic analysis.  </w:t>
      </w:r>
    </w:p>
    <w:p w:rsidR="005A55BC" w:rsidRPr="00502931" w:rsidRDefault="005A55BC" w:rsidP="005A55BC">
      <w:pPr>
        <w:ind w:firstLine="720"/>
        <w:jc w:val="both"/>
        <w:rPr>
          <w:sz w:val="26"/>
          <w:szCs w:val="26"/>
        </w:rPr>
      </w:pPr>
      <w:r w:rsidRPr="00502931">
        <w:rPr>
          <w:sz w:val="26"/>
          <w:szCs w:val="26"/>
        </w:rPr>
        <w:t xml:space="preserve">The capital and funds obtained from the sale of shares in APUC are used by LUC and </w:t>
      </w:r>
      <w:proofErr w:type="spellStart"/>
      <w:r w:rsidRPr="00502931">
        <w:rPr>
          <w:sz w:val="26"/>
          <w:szCs w:val="26"/>
        </w:rPr>
        <w:t>APC</w:t>
      </w:r>
      <w:r w:rsidR="00AF731A">
        <w:rPr>
          <w:sz w:val="26"/>
          <w:szCs w:val="26"/>
        </w:rPr>
        <w:t>o</w:t>
      </w:r>
      <w:proofErr w:type="spellEnd"/>
      <w:r w:rsidRPr="00502931">
        <w:rPr>
          <w:sz w:val="26"/>
          <w:szCs w:val="26"/>
        </w:rPr>
        <w:t xml:space="preserve"> for </w:t>
      </w:r>
      <w:r w:rsidR="00B652BB">
        <w:rPr>
          <w:sz w:val="26"/>
          <w:szCs w:val="26"/>
        </w:rPr>
        <w:t xml:space="preserve">current and future </w:t>
      </w:r>
      <w:r w:rsidRPr="00502931">
        <w:rPr>
          <w:sz w:val="26"/>
          <w:szCs w:val="26"/>
        </w:rPr>
        <w:t>capital investments.</w:t>
      </w:r>
      <w:r>
        <w:rPr>
          <w:sz w:val="26"/>
          <w:szCs w:val="26"/>
        </w:rPr>
        <w:t xml:space="preserve"> </w:t>
      </w:r>
      <w:r w:rsidR="000B4126">
        <w:rPr>
          <w:sz w:val="26"/>
          <w:szCs w:val="26"/>
        </w:rPr>
        <w:t xml:space="preserve"> </w:t>
      </w:r>
      <w:r w:rsidRPr="00502931">
        <w:rPr>
          <w:sz w:val="26"/>
          <w:szCs w:val="26"/>
        </w:rPr>
        <w:t xml:space="preserve">The services provided by APUC are critical and necessary to </w:t>
      </w:r>
      <w:r>
        <w:rPr>
          <w:sz w:val="26"/>
          <w:szCs w:val="26"/>
        </w:rPr>
        <w:t>LUC</w:t>
      </w:r>
      <w:r w:rsidRPr="00502931">
        <w:rPr>
          <w:sz w:val="26"/>
          <w:szCs w:val="26"/>
        </w:rPr>
        <w:t xml:space="preserve"> and </w:t>
      </w:r>
      <w:proofErr w:type="spellStart"/>
      <w:r w:rsidRPr="00502931">
        <w:rPr>
          <w:sz w:val="26"/>
          <w:szCs w:val="26"/>
        </w:rPr>
        <w:t>APC</w:t>
      </w:r>
      <w:r w:rsidR="00AF731A">
        <w:rPr>
          <w:sz w:val="26"/>
          <w:szCs w:val="26"/>
        </w:rPr>
        <w:t>o</w:t>
      </w:r>
      <w:proofErr w:type="spellEnd"/>
      <w:r w:rsidRPr="00502931">
        <w:rPr>
          <w:sz w:val="26"/>
          <w:szCs w:val="26"/>
        </w:rPr>
        <w:t xml:space="preserve"> because without those services they would not have a readily available source of capital funding.  Put another way, absent the services provided by AP</w:t>
      </w:r>
      <w:r>
        <w:rPr>
          <w:sz w:val="26"/>
          <w:szCs w:val="26"/>
        </w:rPr>
        <w:t>U</w:t>
      </w:r>
      <w:r w:rsidRPr="00502931">
        <w:rPr>
          <w:sz w:val="26"/>
          <w:szCs w:val="26"/>
        </w:rPr>
        <w:t>C, each bus</w:t>
      </w:r>
      <w:r>
        <w:rPr>
          <w:sz w:val="26"/>
          <w:szCs w:val="26"/>
        </w:rPr>
        <w:t xml:space="preserve">iness, including each utility, </w:t>
      </w:r>
      <w:r w:rsidRPr="00502931">
        <w:rPr>
          <w:sz w:val="26"/>
          <w:szCs w:val="26"/>
        </w:rPr>
        <w:t>would be forced to operate as stand</w:t>
      </w:r>
      <w:r>
        <w:rPr>
          <w:sz w:val="26"/>
          <w:szCs w:val="26"/>
        </w:rPr>
        <w:t>-</w:t>
      </w:r>
      <w:r w:rsidRPr="00502931">
        <w:rPr>
          <w:sz w:val="26"/>
          <w:szCs w:val="26"/>
        </w:rPr>
        <w:t xml:space="preserve">alone utilities, with resulting higher costs and operating expenses incurred by customers. </w:t>
      </w:r>
      <w:r w:rsidR="000B4126">
        <w:rPr>
          <w:sz w:val="26"/>
          <w:szCs w:val="26"/>
        </w:rPr>
        <w:t xml:space="preserve"> </w:t>
      </w:r>
      <w:r w:rsidRPr="00502931">
        <w:rPr>
          <w:sz w:val="26"/>
          <w:szCs w:val="26"/>
        </w:rPr>
        <w:t>In addition, the utilities would bare much greater risk due to a potential inability to obtain capital on a standalone basis.</w:t>
      </w:r>
    </w:p>
    <w:p w:rsidR="005A55BC" w:rsidRPr="00502931" w:rsidRDefault="005A55BC" w:rsidP="005A55BC">
      <w:pPr>
        <w:ind w:firstLine="360"/>
        <w:jc w:val="both"/>
        <w:rPr>
          <w:sz w:val="26"/>
          <w:szCs w:val="26"/>
        </w:rPr>
      </w:pPr>
    </w:p>
    <w:p w:rsidR="005A55BC" w:rsidRPr="00502931" w:rsidRDefault="005A55BC" w:rsidP="005A55BC">
      <w:pPr>
        <w:ind w:firstLine="720"/>
        <w:jc w:val="both"/>
        <w:rPr>
          <w:sz w:val="26"/>
          <w:szCs w:val="26"/>
        </w:rPr>
      </w:pPr>
      <w:r w:rsidRPr="00502931">
        <w:rPr>
          <w:sz w:val="26"/>
          <w:szCs w:val="26"/>
        </w:rPr>
        <w:t>The services provided by AP</w:t>
      </w:r>
      <w:r>
        <w:rPr>
          <w:sz w:val="26"/>
          <w:szCs w:val="26"/>
        </w:rPr>
        <w:t>UC</w:t>
      </w:r>
      <w:r w:rsidRPr="00502931">
        <w:rPr>
          <w:sz w:val="26"/>
          <w:szCs w:val="26"/>
        </w:rPr>
        <w:t xml:space="preserve"> specifically optimize performance of L</w:t>
      </w:r>
      <w:r w:rsidR="00AF731A">
        <w:rPr>
          <w:sz w:val="26"/>
          <w:szCs w:val="26"/>
        </w:rPr>
        <w:t>U</w:t>
      </w:r>
      <w:r w:rsidRPr="00502931">
        <w:rPr>
          <w:sz w:val="26"/>
          <w:szCs w:val="26"/>
        </w:rPr>
        <w:t>C</w:t>
      </w:r>
      <w:r w:rsidR="00AF731A">
        <w:rPr>
          <w:sz w:val="26"/>
          <w:szCs w:val="26"/>
        </w:rPr>
        <w:t>,</w:t>
      </w:r>
      <w:r w:rsidRPr="00502931">
        <w:rPr>
          <w:sz w:val="26"/>
          <w:szCs w:val="26"/>
        </w:rPr>
        <w:t xml:space="preserve"> keeping rates low for customers while ensuring access to capital is available.  If the utilities did not have access to the services provided by AP</w:t>
      </w:r>
      <w:r>
        <w:rPr>
          <w:sz w:val="26"/>
          <w:szCs w:val="26"/>
        </w:rPr>
        <w:t>UC</w:t>
      </w:r>
      <w:r w:rsidRPr="00502931">
        <w:rPr>
          <w:sz w:val="26"/>
          <w:szCs w:val="26"/>
        </w:rPr>
        <w:t xml:space="preserve">, then they would be forced to incur associated costs for financing, capital investment, audits, taxes and other similar services on a stand-alone basis, which would substantially increase such costs. </w:t>
      </w:r>
      <w:r w:rsidR="000B4126">
        <w:rPr>
          <w:sz w:val="26"/>
          <w:szCs w:val="26"/>
        </w:rPr>
        <w:t xml:space="preserve"> </w:t>
      </w:r>
      <w:r w:rsidRPr="00502931">
        <w:rPr>
          <w:sz w:val="26"/>
          <w:szCs w:val="26"/>
        </w:rPr>
        <w:t xml:space="preserve">Simply put, without incurring these costs, APUC would not be able to invest capital in its subsidiaries, including the regulated utilities.  </w:t>
      </w:r>
    </w:p>
    <w:p w:rsidR="005A55BC" w:rsidRDefault="005A55BC" w:rsidP="005A55BC">
      <w:pPr>
        <w:pStyle w:val="BodyText"/>
        <w:spacing w:after="0"/>
        <w:ind w:left="0" w:firstLine="720"/>
        <w:rPr>
          <w:szCs w:val="26"/>
        </w:rPr>
      </w:pPr>
    </w:p>
    <w:p w:rsidR="00504AE6" w:rsidRDefault="008776BE" w:rsidP="008776BE">
      <w:pPr>
        <w:pStyle w:val="BodyText"/>
        <w:ind w:left="0" w:firstLine="720"/>
        <w:rPr>
          <w:szCs w:val="26"/>
        </w:rPr>
      </w:pPr>
      <w:r>
        <w:rPr>
          <w:szCs w:val="26"/>
        </w:rPr>
        <w:t xml:space="preserve">In connection with the provision of Financing and Administrative Services, APUC incurs the following types of </w:t>
      </w:r>
      <w:r w:rsidR="00504AE6">
        <w:rPr>
          <w:szCs w:val="26"/>
        </w:rPr>
        <w:t>c</w:t>
      </w:r>
      <w:r>
        <w:rPr>
          <w:szCs w:val="26"/>
        </w:rPr>
        <w:t>osts:  (</w:t>
      </w:r>
      <w:proofErr w:type="spellStart"/>
      <w:r>
        <w:rPr>
          <w:szCs w:val="26"/>
        </w:rPr>
        <w:t>i</w:t>
      </w:r>
      <w:proofErr w:type="spellEnd"/>
      <w:r>
        <w:rPr>
          <w:szCs w:val="26"/>
        </w:rPr>
        <w:t xml:space="preserve">) </w:t>
      </w:r>
      <w:r w:rsidR="004C0C3F">
        <w:rPr>
          <w:szCs w:val="26"/>
        </w:rPr>
        <w:t>strategic management costs</w:t>
      </w:r>
      <w:r>
        <w:rPr>
          <w:szCs w:val="26"/>
        </w:rPr>
        <w:t xml:space="preserve"> (</w:t>
      </w:r>
      <w:r w:rsidR="004C0C3F">
        <w:rPr>
          <w:szCs w:val="26"/>
        </w:rPr>
        <w:t xml:space="preserve">board of director, </w:t>
      </w:r>
      <w:r w:rsidRPr="009C45CD">
        <w:rPr>
          <w:szCs w:val="26"/>
        </w:rPr>
        <w:t>third-party legal</w:t>
      </w:r>
      <w:r>
        <w:rPr>
          <w:szCs w:val="26"/>
        </w:rPr>
        <w:t xml:space="preserve"> </w:t>
      </w:r>
      <w:r w:rsidRPr="009C45CD">
        <w:rPr>
          <w:szCs w:val="26"/>
        </w:rPr>
        <w:t>services, accounting services, tax planning and filings,</w:t>
      </w:r>
      <w:r>
        <w:rPr>
          <w:szCs w:val="26"/>
        </w:rPr>
        <w:t xml:space="preserve"> insurance, </w:t>
      </w:r>
      <w:r w:rsidRPr="009C45CD">
        <w:rPr>
          <w:szCs w:val="26"/>
        </w:rPr>
        <w:t xml:space="preserve">and required </w:t>
      </w:r>
      <w:r>
        <w:rPr>
          <w:szCs w:val="26"/>
        </w:rPr>
        <w:t xml:space="preserve">auditing); (ii) </w:t>
      </w:r>
      <w:r w:rsidR="004C0C3F">
        <w:rPr>
          <w:szCs w:val="26"/>
        </w:rPr>
        <w:t>capital access</w:t>
      </w:r>
      <w:r>
        <w:rPr>
          <w:szCs w:val="26"/>
        </w:rPr>
        <w:t xml:space="preserve"> costs (communications, trustee fees, escrow and transfer agent fees); (iii) </w:t>
      </w:r>
      <w:r w:rsidR="004C0C3F">
        <w:rPr>
          <w:szCs w:val="26"/>
        </w:rPr>
        <w:t>financial control costs</w:t>
      </w:r>
      <w:r>
        <w:rPr>
          <w:szCs w:val="26"/>
        </w:rPr>
        <w:t xml:space="preserve"> (</w:t>
      </w:r>
      <w:r w:rsidR="004C0C3F">
        <w:rPr>
          <w:szCs w:val="26"/>
        </w:rPr>
        <w:t>audit and tax</w:t>
      </w:r>
      <w:r>
        <w:rPr>
          <w:szCs w:val="26"/>
        </w:rPr>
        <w:t xml:space="preserve"> expenses); </w:t>
      </w:r>
      <w:r w:rsidR="004C0C3F">
        <w:rPr>
          <w:szCs w:val="26"/>
        </w:rPr>
        <w:t xml:space="preserve">and </w:t>
      </w:r>
      <w:r w:rsidR="00252B88">
        <w:rPr>
          <w:szCs w:val="26"/>
        </w:rPr>
        <w:t xml:space="preserve">(iv) </w:t>
      </w:r>
      <w:r w:rsidR="004C0C3F">
        <w:rPr>
          <w:szCs w:val="26"/>
        </w:rPr>
        <w:t>administrative</w:t>
      </w:r>
      <w:r w:rsidR="00252B88">
        <w:rPr>
          <w:szCs w:val="26"/>
        </w:rPr>
        <w:t xml:space="preserve"> </w:t>
      </w:r>
      <w:r w:rsidR="004C0C3F">
        <w:rPr>
          <w:szCs w:val="26"/>
        </w:rPr>
        <w:t>(rent, depreciation, general office costs</w:t>
      </w:r>
      <w:r>
        <w:rPr>
          <w:szCs w:val="26"/>
        </w:rPr>
        <w:t xml:space="preserve">. </w:t>
      </w:r>
      <w:r w:rsidR="00504AE6">
        <w:rPr>
          <w:szCs w:val="26"/>
        </w:rPr>
        <w:t xml:space="preserve"> </w:t>
      </w:r>
      <w:r w:rsidR="004C0C3F">
        <w:rPr>
          <w:szCs w:val="26"/>
        </w:rPr>
        <w:t>See Appendix 2 for a more detailed discussion of the costs incurred by APUC.</w:t>
      </w:r>
    </w:p>
    <w:p w:rsidR="00502931" w:rsidRPr="00025428" w:rsidRDefault="000B4126" w:rsidP="00252B88">
      <w:pPr>
        <w:ind w:firstLine="567"/>
        <w:rPr>
          <w:sz w:val="26"/>
          <w:szCs w:val="26"/>
        </w:rPr>
      </w:pPr>
      <w:r w:rsidRPr="00025428">
        <w:rPr>
          <w:sz w:val="26"/>
          <w:szCs w:val="26"/>
        </w:rPr>
        <w:t>N</w:t>
      </w:r>
      <w:r w:rsidR="00AF731A" w:rsidRPr="00025428">
        <w:rPr>
          <w:sz w:val="26"/>
          <w:szCs w:val="26"/>
        </w:rPr>
        <w:t>on-labor costs</w:t>
      </w:r>
      <w:r w:rsidR="004C0C3F" w:rsidRPr="00025428">
        <w:rPr>
          <w:sz w:val="26"/>
          <w:szCs w:val="26"/>
        </w:rPr>
        <w:t>, including corporate capital,</w:t>
      </w:r>
      <w:r w:rsidR="00AF731A" w:rsidRPr="00025428">
        <w:rPr>
          <w:sz w:val="26"/>
          <w:szCs w:val="26"/>
        </w:rPr>
        <w:t xml:space="preserve"> are pooled and allocated to LU</w:t>
      </w:r>
      <w:r w:rsidR="00256E74" w:rsidRPr="00025428">
        <w:rPr>
          <w:sz w:val="26"/>
          <w:szCs w:val="26"/>
        </w:rPr>
        <w:t xml:space="preserve">C and </w:t>
      </w:r>
      <w:proofErr w:type="spellStart"/>
      <w:r w:rsidR="00256E74" w:rsidRPr="00025428">
        <w:rPr>
          <w:sz w:val="26"/>
          <w:szCs w:val="26"/>
        </w:rPr>
        <w:t>APCo</w:t>
      </w:r>
      <w:proofErr w:type="spellEnd"/>
      <w:r w:rsidR="00256E74" w:rsidRPr="00025428">
        <w:rPr>
          <w:sz w:val="26"/>
          <w:szCs w:val="26"/>
        </w:rPr>
        <w:t xml:space="preserve"> using a Three Factor Methodology.  The three factors in the Three Factors Methodology are revenue, expenses, and plant-in-service.  </w:t>
      </w:r>
      <w:r w:rsidR="00843B72" w:rsidRPr="00150E54">
        <w:rPr>
          <w:sz w:val="26"/>
          <w:szCs w:val="26"/>
        </w:rPr>
        <w:t xml:space="preserve">Each of the three factors </w:t>
      </w:r>
      <w:proofErr w:type="gramStart"/>
      <w:r w:rsidR="00843B72" w:rsidRPr="00150E54">
        <w:rPr>
          <w:sz w:val="26"/>
          <w:szCs w:val="26"/>
        </w:rPr>
        <w:t>are</w:t>
      </w:r>
      <w:proofErr w:type="gramEnd"/>
      <w:r w:rsidR="00843B72" w:rsidRPr="00150E54">
        <w:rPr>
          <w:sz w:val="26"/>
          <w:szCs w:val="26"/>
        </w:rPr>
        <w:t xml:space="preserve"> given equal weight, or 33.3%.  </w:t>
      </w:r>
      <w:r w:rsidR="00025428">
        <w:rPr>
          <w:sz w:val="26"/>
          <w:szCs w:val="26"/>
        </w:rPr>
        <w:t xml:space="preserve">Notwithstanding the above, if a charge is related either solely to the regulated utility business, </w:t>
      </w:r>
      <w:r w:rsidR="00025428" w:rsidRPr="00025428">
        <w:rPr>
          <w:i/>
          <w:sz w:val="26"/>
          <w:szCs w:val="26"/>
        </w:rPr>
        <w:t>i.e.</w:t>
      </w:r>
      <w:r w:rsidR="00025428">
        <w:rPr>
          <w:sz w:val="26"/>
          <w:szCs w:val="26"/>
        </w:rPr>
        <w:t xml:space="preserve">, LUC, or to the power generation business, </w:t>
      </w:r>
      <w:r w:rsidR="00025428" w:rsidRPr="00025428">
        <w:rPr>
          <w:i/>
          <w:sz w:val="26"/>
          <w:szCs w:val="26"/>
        </w:rPr>
        <w:t>i.e.</w:t>
      </w:r>
      <w:r w:rsidR="00025428">
        <w:rPr>
          <w:sz w:val="26"/>
          <w:szCs w:val="26"/>
        </w:rPr>
        <w:t xml:space="preserve">, </w:t>
      </w:r>
      <w:proofErr w:type="spellStart"/>
      <w:r w:rsidR="00025428">
        <w:rPr>
          <w:sz w:val="26"/>
          <w:szCs w:val="26"/>
        </w:rPr>
        <w:t>APCo</w:t>
      </w:r>
      <w:proofErr w:type="spellEnd"/>
      <w:r w:rsidR="00025428">
        <w:rPr>
          <w:sz w:val="26"/>
          <w:szCs w:val="26"/>
        </w:rPr>
        <w:t xml:space="preserve">, then all of those costs will be allocated to the business segment for which they are incurred. </w:t>
      </w:r>
      <w:r w:rsidR="005A55BC" w:rsidRPr="00025428">
        <w:rPr>
          <w:sz w:val="26"/>
          <w:szCs w:val="26"/>
        </w:rPr>
        <w:t xml:space="preserve"> </w:t>
      </w:r>
      <w:r w:rsidR="00A8776A">
        <w:rPr>
          <w:sz w:val="26"/>
          <w:szCs w:val="26"/>
        </w:rPr>
        <w:t>Furthermore, costs directly attributable to a specific region (“Regional Costs”) are identified as such and allocated by LUC to the utilities in that region using the Utility Four Factor Methodology, as defined in Section IV.  Lastly</w:t>
      </w:r>
      <w:r w:rsidR="00025428">
        <w:rPr>
          <w:sz w:val="26"/>
          <w:szCs w:val="26"/>
        </w:rPr>
        <w:t>, if a cost can be directly attributable to a specific entity, it will be directly charged to that entity.  For an example of how an invoice would be allocated</w:t>
      </w:r>
      <w:r w:rsidR="00650B8B">
        <w:rPr>
          <w:sz w:val="26"/>
          <w:szCs w:val="26"/>
        </w:rPr>
        <w:t>,</w:t>
      </w:r>
      <w:r w:rsidR="00025428">
        <w:rPr>
          <w:sz w:val="26"/>
          <w:szCs w:val="26"/>
        </w:rPr>
        <w:t xml:space="preserve"> please see Appendix 3.</w:t>
      </w:r>
      <w:r w:rsidR="005A55BC" w:rsidRPr="00025428">
        <w:rPr>
          <w:sz w:val="26"/>
          <w:szCs w:val="26"/>
        </w:rPr>
        <w:t xml:space="preserve"> </w:t>
      </w:r>
    </w:p>
    <w:p w:rsidR="001E509D" w:rsidRDefault="001E509D" w:rsidP="00252B88">
      <w:pPr>
        <w:ind w:firstLine="567"/>
        <w:rPr>
          <w:szCs w:val="26"/>
        </w:rPr>
      </w:pPr>
    </w:p>
    <w:p w:rsidR="001E509D" w:rsidRPr="00502931" w:rsidRDefault="001E509D" w:rsidP="00025428">
      <w:pPr>
        <w:pStyle w:val="BodyText"/>
        <w:ind w:left="0" w:firstLine="720"/>
        <w:rPr>
          <w:szCs w:val="26"/>
          <w:u w:val="single"/>
        </w:rPr>
      </w:pPr>
      <w:r>
        <w:rPr>
          <w:szCs w:val="26"/>
        </w:rPr>
        <w:t xml:space="preserve">Certain costs, which are incurred for the benefit of APUC’s businesses, are not allocated to any subsidiary. </w:t>
      </w:r>
      <w:r w:rsidR="00650B8B">
        <w:rPr>
          <w:szCs w:val="26"/>
        </w:rPr>
        <w:t xml:space="preserve"> </w:t>
      </w:r>
      <w:r>
        <w:rPr>
          <w:szCs w:val="26"/>
        </w:rPr>
        <w:t xml:space="preserve">These include costs such as donations, certain corporate travel, and certain overheads. </w:t>
      </w:r>
    </w:p>
    <w:p w:rsidR="00690CBC" w:rsidRPr="00F949F8" w:rsidRDefault="0062434A" w:rsidP="003E18E4">
      <w:pPr>
        <w:pStyle w:val="Subtitle"/>
        <w:numPr>
          <w:ilvl w:val="0"/>
          <w:numId w:val="19"/>
        </w:numPr>
        <w:spacing w:before="0" w:after="240"/>
        <w:ind w:left="714" w:hanging="357"/>
      </w:pPr>
      <w:bookmarkStart w:id="4" w:name="_Toc310250956"/>
      <w:r w:rsidRPr="00F949F8">
        <w:t xml:space="preserve">Labor </w:t>
      </w:r>
      <w:r w:rsidR="006B2593" w:rsidRPr="00F949F8">
        <w:t xml:space="preserve">Services </w:t>
      </w:r>
      <w:proofErr w:type="gramStart"/>
      <w:r w:rsidR="006B2593" w:rsidRPr="00F949F8">
        <w:t>And</w:t>
      </w:r>
      <w:proofErr w:type="gramEnd"/>
      <w:r w:rsidR="006B2593" w:rsidRPr="00F949F8">
        <w:t xml:space="preserve"> </w:t>
      </w:r>
      <w:r w:rsidRPr="00F949F8">
        <w:t xml:space="preserve">Cost Allocation From </w:t>
      </w:r>
      <w:r w:rsidR="00014F6B" w:rsidRPr="00F949F8">
        <w:t xml:space="preserve">APUC </w:t>
      </w:r>
      <w:r w:rsidRPr="00F949F8">
        <w:t>T</w:t>
      </w:r>
      <w:r w:rsidR="00637431" w:rsidRPr="00F949F8">
        <w:t xml:space="preserve">o </w:t>
      </w:r>
      <w:r w:rsidR="000B4126" w:rsidRPr="00F949F8">
        <w:t xml:space="preserve">LUC and </w:t>
      </w:r>
      <w:proofErr w:type="spellStart"/>
      <w:r w:rsidR="000B4126" w:rsidRPr="00F949F8">
        <w:t>APCo</w:t>
      </w:r>
      <w:bookmarkEnd w:id="4"/>
      <w:proofErr w:type="spellEnd"/>
    </w:p>
    <w:p w:rsidR="006B16B4" w:rsidRPr="00886A88" w:rsidRDefault="006B16B4" w:rsidP="0062434A">
      <w:pPr>
        <w:pStyle w:val="BodyText"/>
        <w:spacing w:after="120"/>
        <w:ind w:left="0" w:firstLine="567"/>
        <w:rPr>
          <w:szCs w:val="26"/>
        </w:rPr>
      </w:pPr>
      <w:r w:rsidRPr="00886A88">
        <w:rPr>
          <w:szCs w:val="26"/>
        </w:rPr>
        <w:t xml:space="preserve">As described above, APUC provides benefits to the utilities it owns by use </w:t>
      </w:r>
      <w:r w:rsidR="001E509D">
        <w:rPr>
          <w:szCs w:val="26"/>
        </w:rPr>
        <w:t>of certain shared services</w:t>
      </w:r>
      <w:r w:rsidRPr="00886A88">
        <w:rPr>
          <w:szCs w:val="26"/>
        </w:rPr>
        <w:t xml:space="preserve">. </w:t>
      </w:r>
      <w:r w:rsidR="000B4126">
        <w:rPr>
          <w:szCs w:val="26"/>
        </w:rPr>
        <w:t xml:space="preserve"> </w:t>
      </w:r>
      <w:r w:rsidR="005031CD">
        <w:rPr>
          <w:szCs w:val="26"/>
        </w:rPr>
        <w:t>Labor for s</w:t>
      </w:r>
      <w:r w:rsidRPr="00886A88">
        <w:rPr>
          <w:szCs w:val="26"/>
        </w:rPr>
        <w:t xml:space="preserve">ervices such as executive management, corporate accounting, treasury services, investor relations, and corporate finance are provided by APUC to </w:t>
      </w:r>
      <w:r w:rsidR="000B4126">
        <w:rPr>
          <w:szCs w:val="26"/>
        </w:rPr>
        <w:t xml:space="preserve">LUC and </w:t>
      </w:r>
      <w:proofErr w:type="spellStart"/>
      <w:r w:rsidR="000B4126">
        <w:rPr>
          <w:szCs w:val="26"/>
        </w:rPr>
        <w:t>APCo</w:t>
      </w:r>
      <w:proofErr w:type="spellEnd"/>
      <w:r w:rsidRPr="00886A88">
        <w:rPr>
          <w:szCs w:val="26"/>
        </w:rPr>
        <w:t xml:space="preserve">. </w:t>
      </w:r>
    </w:p>
    <w:p w:rsidR="009842E1" w:rsidRDefault="000B4126" w:rsidP="000B4126">
      <w:pPr>
        <w:jc w:val="both"/>
        <w:rPr>
          <w:sz w:val="26"/>
          <w:szCs w:val="26"/>
        </w:rPr>
      </w:pPr>
      <w:r>
        <w:rPr>
          <w:sz w:val="26"/>
          <w:szCs w:val="26"/>
        </w:rPr>
        <w:tab/>
      </w:r>
      <w:r w:rsidR="006B16B4" w:rsidRPr="00886A88">
        <w:rPr>
          <w:sz w:val="26"/>
          <w:szCs w:val="26"/>
        </w:rPr>
        <w:t xml:space="preserve">APUC charges labor rates at cost, which is the dollar hourly rate per employee as recorded in APUC’s payroll systems, grossed up for burdens such as payroll taxes, health benefits, retirement plans, and other insurance provided to employees. </w:t>
      </w:r>
      <w:r>
        <w:rPr>
          <w:sz w:val="26"/>
          <w:szCs w:val="26"/>
        </w:rPr>
        <w:t xml:space="preserve"> APUC allocates these costs to LUC and </w:t>
      </w:r>
      <w:proofErr w:type="spellStart"/>
      <w:r>
        <w:rPr>
          <w:sz w:val="26"/>
          <w:szCs w:val="26"/>
        </w:rPr>
        <w:t>APCo</w:t>
      </w:r>
      <w:proofErr w:type="spellEnd"/>
      <w:r>
        <w:rPr>
          <w:sz w:val="26"/>
          <w:szCs w:val="26"/>
        </w:rPr>
        <w:t xml:space="preserve"> using the Three Factor Methodology.  </w:t>
      </w:r>
      <w:r w:rsidR="006F06A2">
        <w:rPr>
          <w:sz w:val="26"/>
          <w:szCs w:val="26"/>
        </w:rPr>
        <w:t>As discussed in Section IV, LUC then allocates these costs to its regulated utilities using the Utility Four Factor Methodology.</w:t>
      </w:r>
    </w:p>
    <w:p w:rsidR="00121551" w:rsidRDefault="00121551" w:rsidP="000B4126">
      <w:pPr>
        <w:jc w:val="both"/>
        <w:rPr>
          <w:sz w:val="26"/>
          <w:szCs w:val="26"/>
        </w:rPr>
      </w:pPr>
    </w:p>
    <w:p w:rsidR="00121551" w:rsidRPr="00F23FF9" w:rsidRDefault="0023151B" w:rsidP="00121551">
      <w:pPr>
        <w:pStyle w:val="Subtitle"/>
        <w:numPr>
          <w:ilvl w:val="0"/>
          <w:numId w:val="0"/>
        </w:numPr>
        <w:spacing w:before="0" w:after="240"/>
        <w:ind w:left="360"/>
        <w:rPr>
          <w:color w:val="auto"/>
          <w:u w:val="single"/>
        </w:rPr>
      </w:pPr>
      <w:r w:rsidRPr="00F23FF9">
        <w:rPr>
          <w:u w:val="single"/>
        </w:rPr>
        <w:t xml:space="preserve">C. </w:t>
      </w:r>
      <w:r w:rsidRPr="00F23FF9">
        <w:rPr>
          <w:color w:val="548DD4" w:themeColor="text2" w:themeTint="99"/>
          <w:u w:val="single"/>
        </w:rPr>
        <w:t xml:space="preserve">Labor Services </w:t>
      </w:r>
      <w:proofErr w:type="gramStart"/>
      <w:r w:rsidRPr="00F23FF9">
        <w:rPr>
          <w:color w:val="548DD4" w:themeColor="text2" w:themeTint="99"/>
          <w:u w:val="single"/>
        </w:rPr>
        <w:t>And</w:t>
      </w:r>
      <w:proofErr w:type="gramEnd"/>
      <w:r w:rsidRPr="00F23FF9">
        <w:rPr>
          <w:color w:val="548DD4" w:themeColor="text2" w:themeTint="99"/>
          <w:u w:val="single"/>
        </w:rPr>
        <w:t xml:space="preserve"> Cost Allocation From </w:t>
      </w:r>
      <w:proofErr w:type="spellStart"/>
      <w:r w:rsidRPr="00F23FF9">
        <w:rPr>
          <w:color w:val="548DD4" w:themeColor="text2" w:themeTint="99"/>
          <w:u w:val="single"/>
        </w:rPr>
        <w:t>APCo</w:t>
      </w:r>
      <w:proofErr w:type="spellEnd"/>
      <w:r w:rsidRPr="00F23FF9">
        <w:rPr>
          <w:color w:val="548DD4" w:themeColor="text2" w:themeTint="99"/>
          <w:u w:val="single"/>
        </w:rPr>
        <w:t xml:space="preserve"> To LUC</w:t>
      </w:r>
      <w:r w:rsidRPr="00F23FF9">
        <w:rPr>
          <w:color w:val="auto"/>
          <w:u w:val="single"/>
        </w:rPr>
        <w:t xml:space="preserve"> </w:t>
      </w:r>
    </w:p>
    <w:p w:rsidR="00FF11A9" w:rsidRPr="002900EF" w:rsidRDefault="006B16B4" w:rsidP="000E6C2E">
      <w:pPr>
        <w:ind w:firstLine="720"/>
        <w:jc w:val="both"/>
        <w:rPr>
          <w:sz w:val="26"/>
          <w:szCs w:val="26"/>
        </w:rPr>
      </w:pPr>
      <w:r w:rsidRPr="002900EF">
        <w:rPr>
          <w:sz w:val="26"/>
          <w:szCs w:val="26"/>
        </w:rPr>
        <w:t xml:space="preserve">From time to time, </w:t>
      </w:r>
      <w:proofErr w:type="spellStart"/>
      <w:r w:rsidR="007278B6" w:rsidRPr="002900EF">
        <w:rPr>
          <w:sz w:val="26"/>
          <w:szCs w:val="26"/>
        </w:rPr>
        <w:t>APCo</w:t>
      </w:r>
      <w:proofErr w:type="spellEnd"/>
      <w:r w:rsidRPr="002900EF">
        <w:rPr>
          <w:sz w:val="26"/>
          <w:szCs w:val="26"/>
        </w:rPr>
        <w:t xml:space="preserve"> may provide Engineering </w:t>
      </w:r>
      <w:r w:rsidR="000B4126" w:rsidRPr="002900EF">
        <w:rPr>
          <w:sz w:val="26"/>
          <w:szCs w:val="26"/>
        </w:rPr>
        <w:t xml:space="preserve">and </w:t>
      </w:r>
      <w:r w:rsidRPr="002900EF">
        <w:rPr>
          <w:sz w:val="26"/>
          <w:szCs w:val="26"/>
        </w:rPr>
        <w:t>Technical Labor to Liberty Utilities.</w:t>
      </w:r>
      <w:r w:rsidR="000B4126" w:rsidRPr="002900EF">
        <w:rPr>
          <w:sz w:val="26"/>
          <w:szCs w:val="26"/>
        </w:rPr>
        <w:t xml:space="preserve"> </w:t>
      </w:r>
      <w:r w:rsidRPr="002900EF">
        <w:rPr>
          <w:sz w:val="26"/>
          <w:szCs w:val="26"/>
        </w:rPr>
        <w:t xml:space="preserve"> These charges </w:t>
      </w:r>
      <w:r w:rsidR="006B2593" w:rsidRPr="002900EF">
        <w:rPr>
          <w:sz w:val="26"/>
          <w:szCs w:val="26"/>
        </w:rPr>
        <w:t xml:space="preserve">plus an allocation for corporate overheads such as rent, materials/supplies, etc. </w:t>
      </w:r>
      <w:r w:rsidRPr="002900EF">
        <w:rPr>
          <w:sz w:val="26"/>
          <w:szCs w:val="26"/>
        </w:rPr>
        <w:t xml:space="preserve">are </w:t>
      </w:r>
      <w:r w:rsidR="00E04033" w:rsidRPr="002900EF">
        <w:rPr>
          <w:sz w:val="26"/>
          <w:szCs w:val="26"/>
        </w:rPr>
        <w:t>capitalized</w:t>
      </w:r>
      <w:r w:rsidR="000B4126" w:rsidRPr="002900EF">
        <w:rPr>
          <w:sz w:val="26"/>
          <w:szCs w:val="26"/>
        </w:rPr>
        <w:t xml:space="preserve"> and directly c</w:t>
      </w:r>
      <w:r w:rsidR="00E04033" w:rsidRPr="002900EF">
        <w:rPr>
          <w:sz w:val="26"/>
          <w:szCs w:val="26"/>
        </w:rPr>
        <w:t>harged</w:t>
      </w:r>
      <w:r w:rsidRPr="002900EF">
        <w:rPr>
          <w:sz w:val="26"/>
          <w:szCs w:val="26"/>
        </w:rPr>
        <w:t xml:space="preserve"> </w:t>
      </w:r>
      <w:r w:rsidR="006B2593" w:rsidRPr="002900EF">
        <w:rPr>
          <w:sz w:val="26"/>
          <w:szCs w:val="26"/>
        </w:rPr>
        <w:t>to the relevant utility</w:t>
      </w:r>
      <w:r w:rsidRPr="002900EF">
        <w:rPr>
          <w:sz w:val="26"/>
          <w:szCs w:val="26"/>
        </w:rPr>
        <w:t xml:space="preserve">. </w:t>
      </w:r>
    </w:p>
    <w:p w:rsidR="001E509D" w:rsidRPr="00121551" w:rsidRDefault="001E509D" w:rsidP="000E6C2E">
      <w:pPr>
        <w:ind w:firstLine="720"/>
        <w:jc w:val="both"/>
        <w:rPr>
          <w:sz w:val="26"/>
          <w:szCs w:val="26"/>
        </w:rPr>
      </w:pPr>
    </w:p>
    <w:p w:rsidR="00221F31" w:rsidRPr="006B2593" w:rsidRDefault="006B2593" w:rsidP="00221F31">
      <w:pPr>
        <w:pStyle w:val="Heading1"/>
        <w:numPr>
          <w:ilvl w:val="0"/>
          <w:numId w:val="7"/>
        </w:numPr>
        <w:spacing w:before="0" w:after="240"/>
        <w:ind w:left="1077"/>
        <w:rPr>
          <w:caps/>
          <w:color w:val="auto"/>
          <w:lang w:val="en-CA"/>
        </w:rPr>
      </w:pPr>
      <w:bookmarkStart w:id="5" w:name="_Toc310250957"/>
      <w:r w:rsidRPr="006B2593">
        <w:rPr>
          <w:caps/>
          <w:color w:val="auto"/>
        </w:rPr>
        <w:t xml:space="preserve">Scope of Services provided by LUC to its subsidiaries </w:t>
      </w:r>
      <w:r w:rsidR="00FB55C6" w:rsidRPr="00150E54">
        <w:rPr>
          <w:caps/>
          <w:color w:val="auto"/>
        </w:rPr>
        <w:t xml:space="preserve">and APUC and APCo </w:t>
      </w:r>
      <w:r w:rsidRPr="006B2593">
        <w:rPr>
          <w:caps/>
          <w:color w:val="auto"/>
        </w:rPr>
        <w:t>and how those costs are allocated</w:t>
      </w:r>
      <w:bookmarkEnd w:id="5"/>
    </w:p>
    <w:p w:rsidR="002F5743" w:rsidRPr="00F23FF9" w:rsidRDefault="00221F31" w:rsidP="00F23FF9">
      <w:pPr>
        <w:pStyle w:val="BodyText"/>
        <w:spacing w:after="120"/>
        <w:ind w:left="0" w:firstLine="720"/>
        <w:rPr>
          <w:u w:val="single"/>
        </w:rPr>
      </w:pPr>
      <w:r>
        <w:rPr>
          <w:szCs w:val="26"/>
        </w:rPr>
        <w:t>LU</w:t>
      </w:r>
      <w:r w:rsidR="00B05B87">
        <w:rPr>
          <w:szCs w:val="26"/>
        </w:rPr>
        <w:t>C</w:t>
      </w:r>
      <w:r>
        <w:rPr>
          <w:szCs w:val="26"/>
        </w:rPr>
        <w:t xml:space="preserve"> provides </w:t>
      </w:r>
      <w:r w:rsidR="000B4126">
        <w:rPr>
          <w:szCs w:val="26"/>
        </w:rPr>
        <w:t>its regulated utilities</w:t>
      </w:r>
      <w:r>
        <w:rPr>
          <w:szCs w:val="26"/>
        </w:rPr>
        <w:t xml:space="preserve"> with </w:t>
      </w:r>
      <w:r w:rsidR="006F06A2">
        <w:rPr>
          <w:szCs w:val="26"/>
        </w:rPr>
        <w:t xml:space="preserve">the following </w:t>
      </w:r>
      <w:r>
        <w:rPr>
          <w:szCs w:val="26"/>
        </w:rPr>
        <w:t>services</w:t>
      </w:r>
      <w:r w:rsidR="006F06A2">
        <w:rPr>
          <w:szCs w:val="26"/>
        </w:rPr>
        <w:t>:</w:t>
      </w:r>
      <w:r>
        <w:rPr>
          <w:szCs w:val="26"/>
        </w:rPr>
        <w:t xml:space="preserve"> </w:t>
      </w:r>
      <w:r w:rsidR="000B4126" w:rsidRPr="00247C4B">
        <w:rPr>
          <w:szCs w:val="26"/>
        </w:rPr>
        <w:t>a</w:t>
      </w:r>
      <w:r w:rsidRPr="00247C4B">
        <w:rPr>
          <w:szCs w:val="26"/>
        </w:rPr>
        <w:t xml:space="preserve">ccounting, </w:t>
      </w:r>
      <w:r w:rsidR="000B4126" w:rsidRPr="00247C4B">
        <w:rPr>
          <w:szCs w:val="26"/>
        </w:rPr>
        <w:t>c</w:t>
      </w:r>
      <w:r w:rsidRPr="00247C4B">
        <w:rPr>
          <w:szCs w:val="26"/>
        </w:rPr>
        <w:t xml:space="preserve">orporate </w:t>
      </w:r>
      <w:r w:rsidR="000B4126" w:rsidRPr="00247C4B">
        <w:rPr>
          <w:szCs w:val="26"/>
        </w:rPr>
        <w:t>f</w:t>
      </w:r>
      <w:r w:rsidRPr="00247C4B">
        <w:rPr>
          <w:szCs w:val="26"/>
        </w:rPr>
        <w:t xml:space="preserve">inance, </w:t>
      </w:r>
      <w:r w:rsidR="000B4126" w:rsidRPr="00247C4B">
        <w:rPr>
          <w:szCs w:val="26"/>
        </w:rPr>
        <w:t>h</w:t>
      </w:r>
      <w:r w:rsidRPr="00247C4B">
        <w:rPr>
          <w:szCs w:val="26"/>
        </w:rPr>
        <w:t xml:space="preserve">uman </w:t>
      </w:r>
      <w:r w:rsidR="000B4126" w:rsidRPr="00247C4B">
        <w:rPr>
          <w:szCs w:val="26"/>
        </w:rPr>
        <w:t>r</w:t>
      </w:r>
      <w:r w:rsidRPr="00247C4B">
        <w:rPr>
          <w:szCs w:val="26"/>
        </w:rPr>
        <w:t xml:space="preserve">esources, </w:t>
      </w:r>
      <w:r w:rsidR="000B4126" w:rsidRPr="00247C4B">
        <w:rPr>
          <w:szCs w:val="26"/>
        </w:rPr>
        <w:t>i</w:t>
      </w:r>
      <w:r w:rsidRPr="00247C4B">
        <w:rPr>
          <w:szCs w:val="26"/>
        </w:rPr>
        <w:t xml:space="preserve">nformation </w:t>
      </w:r>
      <w:r w:rsidR="000B4126" w:rsidRPr="00247C4B">
        <w:rPr>
          <w:szCs w:val="26"/>
        </w:rPr>
        <w:t>t</w:t>
      </w:r>
      <w:r w:rsidRPr="00247C4B">
        <w:rPr>
          <w:szCs w:val="26"/>
        </w:rPr>
        <w:t xml:space="preserve">echnology, </w:t>
      </w:r>
      <w:r w:rsidR="000B4126" w:rsidRPr="00247C4B">
        <w:rPr>
          <w:szCs w:val="26"/>
        </w:rPr>
        <w:t>r</w:t>
      </w:r>
      <w:r w:rsidRPr="00247C4B">
        <w:rPr>
          <w:szCs w:val="26"/>
        </w:rPr>
        <w:t xml:space="preserve">ates </w:t>
      </w:r>
      <w:r w:rsidR="000B4126" w:rsidRPr="00247C4B">
        <w:rPr>
          <w:szCs w:val="26"/>
        </w:rPr>
        <w:t>and</w:t>
      </w:r>
      <w:r w:rsidRPr="00247C4B">
        <w:rPr>
          <w:szCs w:val="26"/>
        </w:rPr>
        <w:t xml:space="preserve"> </w:t>
      </w:r>
      <w:r w:rsidR="000B4126" w:rsidRPr="00247C4B">
        <w:rPr>
          <w:szCs w:val="26"/>
        </w:rPr>
        <w:t>r</w:t>
      </w:r>
      <w:r w:rsidRPr="00247C4B">
        <w:rPr>
          <w:szCs w:val="26"/>
        </w:rPr>
        <w:t xml:space="preserve">egulatory </w:t>
      </w:r>
      <w:r w:rsidR="000B4126" w:rsidRPr="00247C4B">
        <w:rPr>
          <w:szCs w:val="26"/>
        </w:rPr>
        <w:t>a</w:t>
      </w:r>
      <w:r w:rsidRPr="00247C4B">
        <w:rPr>
          <w:szCs w:val="26"/>
        </w:rPr>
        <w:t xml:space="preserve">ffairs, </w:t>
      </w:r>
      <w:r w:rsidR="006F06A2" w:rsidRPr="00247C4B">
        <w:rPr>
          <w:szCs w:val="26"/>
        </w:rPr>
        <w:t xml:space="preserve">environment, </w:t>
      </w:r>
      <w:r w:rsidR="000B4126" w:rsidRPr="00247C4B">
        <w:rPr>
          <w:szCs w:val="26"/>
        </w:rPr>
        <w:t>health and safety,</w:t>
      </w:r>
      <w:r w:rsidR="006F06A2" w:rsidRPr="00247C4B">
        <w:rPr>
          <w:szCs w:val="26"/>
        </w:rPr>
        <w:t xml:space="preserve"> and security,</w:t>
      </w:r>
      <w:r w:rsidR="000B4126" w:rsidRPr="00247C4B">
        <w:rPr>
          <w:szCs w:val="26"/>
        </w:rPr>
        <w:t xml:space="preserve"> customer service, </w:t>
      </w:r>
      <w:r w:rsidR="006B2593" w:rsidRPr="00247C4B">
        <w:rPr>
          <w:szCs w:val="26"/>
        </w:rPr>
        <w:t xml:space="preserve">procurement, </w:t>
      </w:r>
      <w:r w:rsidR="000B4126" w:rsidRPr="00247C4B">
        <w:rPr>
          <w:szCs w:val="26"/>
        </w:rPr>
        <w:t>and u</w:t>
      </w:r>
      <w:r w:rsidRPr="00247C4B">
        <w:rPr>
          <w:szCs w:val="26"/>
        </w:rPr>
        <w:t xml:space="preserve">tility </w:t>
      </w:r>
      <w:r w:rsidR="000B4126" w:rsidRPr="00247C4B">
        <w:rPr>
          <w:szCs w:val="26"/>
        </w:rPr>
        <w:t>p</w:t>
      </w:r>
      <w:r w:rsidRPr="00247C4B">
        <w:rPr>
          <w:szCs w:val="26"/>
        </w:rPr>
        <w:t>lanning.</w:t>
      </w:r>
      <w:r w:rsidR="006B2593">
        <w:rPr>
          <w:szCs w:val="26"/>
        </w:rPr>
        <w:t xml:space="preserve"> </w:t>
      </w:r>
      <w:r>
        <w:rPr>
          <w:szCs w:val="26"/>
        </w:rPr>
        <w:t xml:space="preserve"> </w:t>
      </w:r>
      <w:r w:rsidR="007507C4">
        <w:rPr>
          <w:sz w:val="24"/>
        </w:rPr>
        <w:t xml:space="preserve">The following are examples of those services: </w:t>
      </w:r>
      <w:r w:rsidR="0023151B" w:rsidRPr="00F23FF9">
        <w:rPr>
          <w:sz w:val="24"/>
        </w:rPr>
        <w:t xml:space="preserve"> </w:t>
      </w:r>
      <w:r w:rsidR="001B0CEB" w:rsidRPr="007507C4">
        <w:rPr>
          <w:szCs w:val="26"/>
        </w:rPr>
        <w:t>(</w:t>
      </w:r>
      <w:proofErr w:type="spellStart"/>
      <w:r w:rsidR="001B0CEB" w:rsidRPr="007507C4">
        <w:rPr>
          <w:szCs w:val="26"/>
        </w:rPr>
        <w:t>i</w:t>
      </w:r>
      <w:proofErr w:type="spellEnd"/>
      <w:r w:rsidR="001B0CEB" w:rsidRPr="007507C4">
        <w:rPr>
          <w:szCs w:val="26"/>
        </w:rPr>
        <w:t>) budgeting, forecasting, and financial reporting services including preparation of reports and preservation of records, cash management (including electronic fund transfers, cash receipts processing, managing short-term borrowings and investments with third parties); (ii) development of customer service policies and procedures; (iii) development of human resource policies and procedures; (</w:t>
      </w:r>
      <w:r w:rsidR="007507C4">
        <w:rPr>
          <w:szCs w:val="26"/>
        </w:rPr>
        <w:t>i</w:t>
      </w:r>
      <w:r w:rsidR="001B0CEB" w:rsidRPr="007507C4">
        <w:rPr>
          <w:szCs w:val="26"/>
        </w:rPr>
        <w:t>v) selection of information systems and equipment for accounting, engineering, administration, customer service, emergency restoration and other functions</w:t>
      </w:r>
      <w:r w:rsidR="007507C4">
        <w:rPr>
          <w:szCs w:val="26"/>
        </w:rPr>
        <w:t xml:space="preserve"> and implementation thereof; (v</w:t>
      </w:r>
      <w:r w:rsidR="001B0CEB" w:rsidRPr="007507C4">
        <w:rPr>
          <w:szCs w:val="26"/>
        </w:rPr>
        <w:t xml:space="preserve">) development, placement and administration of insurance </w:t>
      </w:r>
      <w:proofErr w:type="spellStart"/>
      <w:r w:rsidR="001B0CEB" w:rsidRPr="007507C4">
        <w:rPr>
          <w:szCs w:val="26"/>
        </w:rPr>
        <w:t>coverages</w:t>
      </w:r>
      <w:proofErr w:type="spellEnd"/>
      <w:r w:rsidR="001B0CEB" w:rsidRPr="007507C4">
        <w:rPr>
          <w:szCs w:val="26"/>
        </w:rPr>
        <w:t xml:space="preserve"> and employee benefit programs, including group insurance and retirement annuities, property inspections an</w:t>
      </w:r>
      <w:r w:rsidR="007507C4">
        <w:rPr>
          <w:szCs w:val="26"/>
        </w:rPr>
        <w:t>d valuations for insurance; (vi</w:t>
      </w:r>
      <w:r w:rsidR="001B0CEB" w:rsidRPr="007507C4">
        <w:rPr>
          <w:szCs w:val="26"/>
        </w:rPr>
        <w:t>) purchasing services including preparation and analysis of product specifications, requests for proposals and similar solicitations; and vendor and v</w:t>
      </w:r>
      <w:r w:rsidR="007507C4">
        <w:rPr>
          <w:szCs w:val="26"/>
        </w:rPr>
        <w:t>endor-product evaluations; (vii</w:t>
      </w:r>
      <w:r w:rsidR="001B0CEB" w:rsidRPr="007507C4">
        <w:rPr>
          <w:szCs w:val="26"/>
        </w:rPr>
        <w:t>) energy procurement oversight and load forecasting; and (</w:t>
      </w:r>
      <w:r w:rsidR="007507C4">
        <w:rPr>
          <w:szCs w:val="26"/>
        </w:rPr>
        <w:t>viii</w:t>
      </w:r>
      <w:r w:rsidR="001B0CEB" w:rsidRPr="007507C4">
        <w:rPr>
          <w:szCs w:val="26"/>
        </w:rPr>
        <w:t>) development of regulatory strategy</w:t>
      </w:r>
      <w:r w:rsidR="00843B72" w:rsidRPr="007507C4">
        <w:rPr>
          <w:szCs w:val="26"/>
        </w:rPr>
        <w:t>.</w:t>
      </w:r>
    </w:p>
    <w:p w:rsidR="00AE651E" w:rsidRDefault="00877036" w:rsidP="006B2593">
      <w:pPr>
        <w:ind w:firstLine="720"/>
        <w:jc w:val="both"/>
        <w:rPr>
          <w:sz w:val="26"/>
          <w:szCs w:val="26"/>
        </w:rPr>
      </w:pPr>
      <w:r>
        <w:rPr>
          <w:sz w:val="26"/>
          <w:szCs w:val="26"/>
        </w:rPr>
        <w:t xml:space="preserve">Unless a charge can be directly attributable to a specific utility, </w:t>
      </w:r>
      <w:r w:rsidR="006B2593">
        <w:rPr>
          <w:sz w:val="26"/>
          <w:szCs w:val="26"/>
        </w:rPr>
        <w:t xml:space="preserve">LUC allocates </w:t>
      </w:r>
      <w:r>
        <w:rPr>
          <w:sz w:val="26"/>
          <w:szCs w:val="26"/>
        </w:rPr>
        <w:t>its</w:t>
      </w:r>
      <w:r w:rsidR="006B2593">
        <w:rPr>
          <w:sz w:val="26"/>
          <w:szCs w:val="26"/>
        </w:rPr>
        <w:t xml:space="preserve"> direct labor and direct non-labor costs</w:t>
      </w:r>
      <w:r>
        <w:rPr>
          <w:sz w:val="26"/>
          <w:szCs w:val="26"/>
        </w:rPr>
        <w:t xml:space="preserve">, including capital costs, </w:t>
      </w:r>
      <w:r w:rsidR="006B2593">
        <w:rPr>
          <w:sz w:val="26"/>
          <w:szCs w:val="26"/>
        </w:rPr>
        <w:t xml:space="preserve">to its regulated utilities using a Utility Four Factor Methodology.  </w:t>
      </w:r>
      <w:r w:rsidR="00E6285F">
        <w:rPr>
          <w:sz w:val="26"/>
          <w:szCs w:val="26"/>
        </w:rPr>
        <w:t>LUC uses the Utility Four Factor Methodology to allocate Regional Costs to the utilities in that region</w:t>
      </w:r>
      <w:r w:rsidR="00A8776A">
        <w:rPr>
          <w:sz w:val="26"/>
          <w:szCs w:val="26"/>
        </w:rPr>
        <w:t xml:space="preserve"> and </w:t>
      </w:r>
      <w:r w:rsidR="00E6285F">
        <w:rPr>
          <w:sz w:val="26"/>
          <w:szCs w:val="26"/>
        </w:rPr>
        <w:t xml:space="preserve">to allocate costs incurred for the benefit of all of its </w:t>
      </w:r>
      <w:r w:rsidR="00A8776A">
        <w:rPr>
          <w:sz w:val="26"/>
          <w:szCs w:val="26"/>
        </w:rPr>
        <w:t xml:space="preserve">regulated assets (“System-Wide Costs”) to all of its utilities. </w:t>
      </w:r>
    </w:p>
    <w:p w:rsidR="00AE651E" w:rsidRDefault="00AE651E" w:rsidP="006B2593">
      <w:pPr>
        <w:ind w:firstLine="720"/>
        <w:jc w:val="both"/>
        <w:rPr>
          <w:sz w:val="26"/>
          <w:szCs w:val="26"/>
        </w:rPr>
      </w:pPr>
    </w:p>
    <w:p w:rsidR="006B2593" w:rsidRPr="00CB1D11" w:rsidRDefault="006B2593" w:rsidP="006B2593">
      <w:pPr>
        <w:ind w:firstLine="720"/>
        <w:jc w:val="both"/>
        <w:rPr>
          <w:sz w:val="26"/>
          <w:szCs w:val="26"/>
        </w:rPr>
      </w:pPr>
      <w:r w:rsidRPr="00CB1D11">
        <w:rPr>
          <w:sz w:val="26"/>
          <w:szCs w:val="26"/>
        </w:rPr>
        <w:t>The “</w:t>
      </w:r>
      <w:r>
        <w:rPr>
          <w:sz w:val="26"/>
          <w:szCs w:val="26"/>
        </w:rPr>
        <w:t>F</w:t>
      </w:r>
      <w:r w:rsidRPr="00CB1D11">
        <w:rPr>
          <w:sz w:val="26"/>
          <w:szCs w:val="26"/>
        </w:rPr>
        <w:t xml:space="preserve">our </w:t>
      </w:r>
      <w:r>
        <w:rPr>
          <w:sz w:val="26"/>
          <w:szCs w:val="26"/>
        </w:rPr>
        <w:t>F</w:t>
      </w:r>
      <w:r w:rsidRPr="00CB1D11">
        <w:rPr>
          <w:sz w:val="26"/>
          <w:szCs w:val="26"/>
        </w:rPr>
        <w:t>actor</w:t>
      </w:r>
      <w:r>
        <w:rPr>
          <w:sz w:val="26"/>
          <w:szCs w:val="26"/>
        </w:rPr>
        <w:t xml:space="preserve"> Utility M</w:t>
      </w:r>
      <w:r w:rsidRPr="00CB1D11">
        <w:rPr>
          <w:sz w:val="26"/>
          <w:szCs w:val="26"/>
        </w:rPr>
        <w:t>ethodology</w:t>
      </w:r>
      <w:r>
        <w:rPr>
          <w:sz w:val="26"/>
          <w:szCs w:val="26"/>
        </w:rPr>
        <w:t>”</w:t>
      </w:r>
      <w:r w:rsidRPr="00CB1D11">
        <w:rPr>
          <w:sz w:val="26"/>
          <w:szCs w:val="26"/>
        </w:rPr>
        <w:t xml:space="preserve"> allocates costs by relative size of the utilities.  The methodology used by </w:t>
      </w:r>
      <w:r>
        <w:rPr>
          <w:sz w:val="26"/>
          <w:szCs w:val="26"/>
        </w:rPr>
        <w:t>L</w:t>
      </w:r>
      <w:r w:rsidR="00877036">
        <w:rPr>
          <w:sz w:val="26"/>
          <w:szCs w:val="26"/>
        </w:rPr>
        <w:t>U</w:t>
      </w:r>
      <w:r>
        <w:rPr>
          <w:sz w:val="26"/>
          <w:szCs w:val="26"/>
        </w:rPr>
        <w:t xml:space="preserve">C </w:t>
      </w:r>
      <w:r w:rsidRPr="00CB1D11">
        <w:rPr>
          <w:sz w:val="26"/>
          <w:szCs w:val="26"/>
        </w:rPr>
        <w:t xml:space="preserve">involves (1) </w:t>
      </w:r>
      <w:r>
        <w:rPr>
          <w:sz w:val="26"/>
          <w:szCs w:val="26"/>
        </w:rPr>
        <w:t>Utility Plant</w:t>
      </w:r>
      <w:r w:rsidRPr="00CB1D11">
        <w:rPr>
          <w:sz w:val="26"/>
          <w:szCs w:val="26"/>
        </w:rPr>
        <w:t>, (2) Total Customers, (3) Non-Labor Expenses</w:t>
      </w:r>
      <w:r>
        <w:rPr>
          <w:sz w:val="26"/>
          <w:szCs w:val="26"/>
        </w:rPr>
        <w:t>,</w:t>
      </w:r>
      <w:r w:rsidRPr="00CB1D11">
        <w:rPr>
          <w:sz w:val="26"/>
          <w:szCs w:val="26"/>
        </w:rPr>
        <w:t xml:space="preserve"> and (</w:t>
      </w:r>
      <w:r>
        <w:rPr>
          <w:sz w:val="26"/>
          <w:szCs w:val="26"/>
        </w:rPr>
        <w:t>4</w:t>
      </w:r>
      <w:r w:rsidRPr="00CB1D11">
        <w:rPr>
          <w:sz w:val="26"/>
          <w:szCs w:val="26"/>
        </w:rPr>
        <w:t xml:space="preserve">) Labor as allocating factors, with each factor assigned a specific weight. </w:t>
      </w:r>
      <w:r w:rsidR="00877036">
        <w:rPr>
          <w:sz w:val="26"/>
          <w:szCs w:val="26"/>
        </w:rPr>
        <w:t xml:space="preserve"> </w:t>
      </w:r>
      <w:r>
        <w:rPr>
          <w:sz w:val="26"/>
          <w:szCs w:val="26"/>
        </w:rPr>
        <w:t>L</w:t>
      </w:r>
      <w:r w:rsidR="00877036">
        <w:rPr>
          <w:sz w:val="26"/>
          <w:szCs w:val="26"/>
        </w:rPr>
        <w:t>U</w:t>
      </w:r>
      <w:r>
        <w:rPr>
          <w:sz w:val="26"/>
          <w:szCs w:val="26"/>
        </w:rPr>
        <w:t xml:space="preserve">C </w:t>
      </w:r>
      <w:r w:rsidRPr="00CB1D11">
        <w:rPr>
          <w:sz w:val="26"/>
          <w:szCs w:val="26"/>
        </w:rPr>
        <w:t>use</w:t>
      </w:r>
      <w:r w:rsidR="00877036">
        <w:rPr>
          <w:sz w:val="26"/>
          <w:szCs w:val="26"/>
        </w:rPr>
        <w:t>s</w:t>
      </w:r>
      <w:r w:rsidRPr="00CB1D11">
        <w:rPr>
          <w:sz w:val="26"/>
          <w:szCs w:val="26"/>
        </w:rPr>
        <w:t xml:space="preserve"> the following weights under this </w:t>
      </w:r>
      <w:r>
        <w:rPr>
          <w:sz w:val="26"/>
          <w:szCs w:val="26"/>
        </w:rPr>
        <w:t>F</w:t>
      </w:r>
      <w:r w:rsidRPr="00CB1D11">
        <w:rPr>
          <w:sz w:val="26"/>
          <w:szCs w:val="26"/>
        </w:rPr>
        <w:t xml:space="preserve">our </w:t>
      </w:r>
      <w:r>
        <w:rPr>
          <w:sz w:val="26"/>
          <w:szCs w:val="26"/>
        </w:rPr>
        <w:t>F</w:t>
      </w:r>
      <w:r w:rsidRPr="00CB1D11">
        <w:rPr>
          <w:sz w:val="26"/>
          <w:szCs w:val="26"/>
        </w:rPr>
        <w:t xml:space="preserve">actor </w:t>
      </w:r>
      <w:r>
        <w:rPr>
          <w:sz w:val="26"/>
          <w:szCs w:val="26"/>
        </w:rPr>
        <w:t>Utility M</w:t>
      </w:r>
      <w:r w:rsidRPr="00CB1D11">
        <w:rPr>
          <w:sz w:val="26"/>
          <w:szCs w:val="26"/>
        </w:rPr>
        <w:t>ethodology:</w:t>
      </w:r>
    </w:p>
    <w:p w:rsidR="006B2593" w:rsidRPr="00CB1D11" w:rsidRDefault="006B2593" w:rsidP="006B2593">
      <w:pPr>
        <w:rPr>
          <w:sz w:val="26"/>
          <w:szCs w:val="26"/>
        </w:rPr>
      </w:pPr>
    </w:p>
    <w:tbl>
      <w:tblPr>
        <w:tblW w:w="4320" w:type="dxa"/>
        <w:tblInd w:w="25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5"/>
        <w:gridCol w:w="1435"/>
      </w:tblGrid>
      <w:tr w:rsidR="006B2593" w:rsidRPr="00CB1D11" w:rsidTr="006B2593">
        <w:trPr>
          <w:trHeight w:val="255"/>
        </w:trPr>
        <w:tc>
          <w:tcPr>
            <w:tcW w:w="2885" w:type="dxa"/>
            <w:shd w:val="clear" w:color="auto" w:fill="auto"/>
            <w:noWrap/>
            <w:vAlign w:val="bottom"/>
          </w:tcPr>
          <w:p w:rsidR="006B2593" w:rsidRPr="00CB1D11" w:rsidRDefault="006B2593" w:rsidP="00211D74">
            <w:pPr>
              <w:keepNext/>
              <w:keepLines/>
              <w:rPr>
                <w:sz w:val="26"/>
                <w:szCs w:val="26"/>
              </w:rPr>
            </w:pPr>
            <w:r w:rsidRPr="00CB1D11">
              <w:rPr>
                <w:sz w:val="26"/>
                <w:szCs w:val="26"/>
              </w:rPr>
              <w:t>Utility Plant</w:t>
            </w:r>
          </w:p>
        </w:tc>
        <w:tc>
          <w:tcPr>
            <w:tcW w:w="1435" w:type="dxa"/>
            <w:shd w:val="clear" w:color="auto" w:fill="auto"/>
            <w:noWrap/>
            <w:vAlign w:val="bottom"/>
          </w:tcPr>
          <w:p w:rsidR="006B2593" w:rsidRPr="00CB1D11" w:rsidRDefault="006B2593" w:rsidP="00211D74">
            <w:pPr>
              <w:keepNext/>
              <w:keepLines/>
              <w:jc w:val="right"/>
              <w:rPr>
                <w:sz w:val="26"/>
                <w:szCs w:val="26"/>
              </w:rPr>
            </w:pPr>
            <w:r w:rsidRPr="00CB1D11">
              <w:rPr>
                <w:sz w:val="26"/>
                <w:szCs w:val="26"/>
              </w:rPr>
              <w:t>50%</w:t>
            </w:r>
          </w:p>
        </w:tc>
      </w:tr>
      <w:tr w:rsidR="006B2593" w:rsidRPr="00CB1D11" w:rsidTr="006B2593">
        <w:trPr>
          <w:trHeight w:val="255"/>
        </w:trPr>
        <w:tc>
          <w:tcPr>
            <w:tcW w:w="2885" w:type="dxa"/>
            <w:shd w:val="clear" w:color="auto" w:fill="auto"/>
            <w:noWrap/>
            <w:vAlign w:val="bottom"/>
          </w:tcPr>
          <w:p w:rsidR="006B2593" w:rsidRPr="00CB1D11" w:rsidRDefault="006B2593" w:rsidP="006B2593">
            <w:pPr>
              <w:rPr>
                <w:sz w:val="26"/>
                <w:szCs w:val="26"/>
              </w:rPr>
            </w:pPr>
            <w:r w:rsidRPr="00CB1D11">
              <w:rPr>
                <w:sz w:val="26"/>
                <w:szCs w:val="26"/>
              </w:rPr>
              <w:t>Customer Count</w:t>
            </w:r>
          </w:p>
        </w:tc>
        <w:tc>
          <w:tcPr>
            <w:tcW w:w="1435" w:type="dxa"/>
            <w:shd w:val="clear" w:color="auto" w:fill="auto"/>
            <w:noWrap/>
            <w:vAlign w:val="bottom"/>
          </w:tcPr>
          <w:p w:rsidR="006B2593" w:rsidRPr="00CB1D11" w:rsidRDefault="006B2593" w:rsidP="006B2593">
            <w:pPr>
              <w:jc w:val="right"/>
              <w:rPr>
                <w:sz w:val="26"/>
                <w:szCs w:val="26"/>
              </w:rPr>
            </w:pPr>
            <w:r w:rsidRPr="00CB1D11">
              <w:rPr>
                <w:sz w:val="26"/>
                <w:szCs w:val="26"/>
              </w:rPr>
              <w:t>40%</w:t>
            </w:r>
          </w:p>
        </w:tc>
      </w:tr>
      <w:tr w:rsidR="006B2593" w:rsidRPr="00CB1D11" w:rsidTr="006B2593">
        <w:trPr>
          <w:trHeight w:val="255"/>
        </w:trPr>
        <w:tc>
          <w:tcPr>
            <w:tcW w:w="2885" w:type="dxa"/>
            <w:shd w:val="clear" w:color="auto" w:fill="auto"/>
            <w:noWrap/>
            <w:vAlign w:val="bottom"/>
          </w:tcPr>
          <w:p w:rsidR="006B2593" w:rsidRPr="00CB1D11" w:rsidRDefault="006B2593" w:rsidP="006B2593">
            <w:pPr>
              <w:rPr>
                <w:sz w:val="26"/>
                <w:szCs w:val="26"/>
              </w:rPr>
            </w:pPr>
            <w:r>
              <w:rPr>
                <w:sz w:val="26"/>
                <w:szCs w:val="26"/>
              </w:rPr>
              <w:t>Non-Labor Expenses</w:t>
            </w:r>
          </w:p>
        </w:tc>
        <w:tc>
          <w:tcPr>
            <w:tcW w:w="1435" w:type="dxa"/>
            <w:shd w:val="clear" w:color="auto" w:fill="auto"/>
            <w:noWrap/>
            <w:vAlign w:val="bottom"/>
          </w:tcPr>
          <w:p w:rsidR="006B2593" w:rsidRPr="00CB1D11" w:rsidRDefault="006B2593" w:rsidP="006B2593">
            <w:pPr>
              <w:jc w:val="right"/>
              <w:rPr>
                <w:sz w:val="26"/>
                <w:szCs w:val="26"/>
              </w:rPr>
            </w:pPr>
            <w:r w:rsidRPr="00CB1D11">
              <w:rPr>
                <w:sz w:val="26"/>
                <w:szCs w:val="26"/>
              </w:rPr>
              <w:t>5%</w:t>
            </w:r>
          </w:p>
        </w:tc>
      </w:tr>
      <w:tr w:rsidR="006B2593" w:rsidRPr="00CB1D11" w:rsidTr="006B2593">
        <w:trPr>
          <w:trHeight w:val="255"/>
        </w:trPr>
        <w:tc>
          <w:tcPr>
            <w:tcW w:w="2885" w:type="dxa"/>
            <w:tcBorders>
              <w:bottom w:val="single" w:sz="4" w:space="0" w:color="auto"/>
            </w:tcBorders>
            <w:shd w:val="clear" w:color="auto" w:fill="auto"/>
            <w:noWrap/>
            <w:vAlign w:val="bottom"/>
          </w:tcPr>
          <w:p w:rsidR="006B2593" w:rsidRPr="00CB1D11" w:rsidRDefault="006B2593" w:rsidP="006B2593">
            <w:pPr>
              <w:rPr>
                <w:sz w:val="26"/>
                <w:szCs w:val="26"/>
              </w:rPr>
            </w:pPr>
            <w:r>
              <w:rPr>
                <w:sz w:val="26"/>
                <w:szCs w:val="26"/>
              </w:rPr>
              <w:t>Labor</w:t>
            </w:r>
          </w:p>
        </w:tc>
        <w:tc>
          <w:tcPr>
            <w:tcW w:w="1435" w:type="dxa"/>
            <w:tcBorders>
              <w:bottom w:val="single" w:sz="4" w:space="0" w:color="auto"/>
            </w:tcBorders>
            <w:shd w:val="clear" w:color="auto" w:fill="auto"/>
            <w:noWrap/>
            <w:vAlign w:val="bottom"/>
          </w:tcPr>
          <w:p w:rsidR="006B2593" w:rsidRPr="00CB1D11" w:rsidRDefault="006B2593" w:rsidP="006B2593">
            <w:pPr>
              <w:jc w:val="right"/>
              <w:rPr>
                <w:sz w:val="26"/>
                <w:szCs w:val="26"/>
              </w:rPr>
            </w:pPr>
            <w:r w:rsidRPr="00CB1D11">
              <w:rPr>
                <w:sz w:val="26"/>
                <w:szCs w:val="26"/>
              </w:rPr>
              <w:t>5%</w:t>
            </w:r>
          </w:p>
        </w:tc>
      </w:tr>
      <w:tr w:rsidR="006B2593" w:rsidRPr="00E068D7" w:rsidTr="006B2593">
        <w:trPr>
          <w:trHeight w:val="270"/>
        </w:trPr>
        <w:tc>
          <w:tcPr>
            <w:tcW w:w="2885" w:type="dxa"/>
            <w:shd w:val="clear" w:color="auto" w:fill="BFBFBF" w:themeFill="background1" w:themeFillShade="BF"/>
            <w:noWrap/>
            <w:vAlign w:val="bottom"/>
          </w:tcPr>
          <w:p w:rsidR="006B2593" w:rsidRPr="00EB31DD" w:rsidRDefault="006B2593" w:rsidP="006B2593">
            <w:pPr>
              <w:rPr>
                <w:b/>
              </w:rPr>
            </w:pPr>
            <w:r w:rsidRPr="00EB31DD">
              <w:rPr>
                <w:b/>
              </w:rPr>
              <w:t>Total</w:t>
            </w:r>
          </w:p>
        </w:tc>
        <w:tc>
          <w:tcPr>
            <w:tcW w:w="1435" w:type="dxa"/>
            <w:shd w:val="clear" w:color="auto" w:fill="BFBFBF" w:themeFill="background1" w:themeFillShade="BF"/>
            <w:noWrap/>
            <w:vAlign w:val="bottom"/>
          </w:tcPr>
          <w:p w:rsidR="006B2593" w:rsidRPr="00EB31DD" w:rsidRDefault="006B2593" w:rsidP="006B2593">
            <w:pPr>
              <w:jc w:val="right"/>
              <w:rPr>
                <w:b/>
              </w:rPr>
            </w:pPr>
            <w:r w:rsidRPr="00EB31DD">
              <w:rPr>
                <w:b/>
              </w:rPr>
              <w:t>100%</w:t>
            </w:r>
          </w:p>
        </w:tc>
      </w:tr>
    </w:tbl>
    <w:p w:rsidR="009378B0" w:rsidRDefault="009378B0" w:rsidP="00CB1D11">
      <w:pPr>
        <w:jc w:val="both"/>
        <w:rPr>
          <w:sz w:val="26"/>
          <w:szCs w:val="26"/>
        </w:rPr>
      </w:pPr>
    </w:p>
    <w:p w:rsidR="00FF11A9" w:rsidRDefault="006B2593" w:rsidP="00056700">
      <w:pPr>
        <w:ind w:firstLine="720"/>
        <w:jc w:val="both"/>
        <w:rPr>
          <w:sz w:val="26"/>
          <w:szCs w:val="26"/>
          <w:lang w:val="en-CA"/>
        </w:rPr>
      </w:pPr>
      <w:r>
        <w:rPr>
          <w:sz w:val="26"/>
          <w:szCs w:val="26"/>
          <w:lang w:val="en-CA"/>
        </w:rPr>
        <w:t xml:space="preserve">LUC also uses the Utility Four Factor Methodology to allocate </w:t>
      </w:r>
      <w:r w:rsidR="00877036">
        <w:rPr>
          <w:sz w:val="26"/>
          <w:szCs w:val="26"/>
          <w:lang w:val="en-CA"/>
        </w:rPr>
        <w:t xml:space="preserve">to its regulated utilities </w:t>
      </w:r>
      <w:r>
        <w:rPr>
          <w:sz w:val="26"/>
          <w:szCs w:val="26"/>
          <w:lang w:val="en-CA"/>
        </w:rPr>
        <w:t xml:space="preserve">the </w:t>
      </w:r>
      <w:r w:rsidR="003D60AD">
        <w:rPr>
          <w:sz w:val="26"/>
          <w:szCs w:val="26"/>
          <w:lang w:val="en-CA"/>
        </w:rPr>
        <w:t xml:space="preserve">System-Wide </w:t>
      </w:r>
      <w:r w:rsidR="00877036">
        <w:rPr>
          <w:sz w:val="26"/>
          <w:szCs w:val="26"/>
          <w:lang w:val="en-CA"/>
        </w:rPr>
        <w:t xml:space="preserve">indirect </w:t>
      </w:r>
      <w:r>
        <w:rPr>
          <w:sz w:val="26"/>
          <w:szCs w:val="26"/>
          <w:lang w:val="en-CA"/>
        </w:rPr>
        <w:t xml:space="preserve">labor and </w:t>
      </w:r>
      <w:r w:rsidR="00877036">
        <w:rPr>
          <w:sz w:val="26"/>
          <w:szCs w:val="26"/>
          <w:lang w:val="en-CA"/>
        </w:rPr>
        <w:t xml:space="preserve">indirect </w:t>
      </w:r>
      <w:r>
        <w:rPr>
          <w:sz w:val="26"/>
          <w:szCs w:val="26"/>
          <w:lang w:val="en-CA"/>
        </w:rPr>
        <w:t>non-labor costs allocated to LUC from APUC</w:t>
      </w:r>
      <w:r w:rsidR="00877036">
        <w:rPr>
          <w:sz w:val="26"/>
          <w:szCs w:val="26"/>
          <w:lang w:val="en-CA"/>
        </w:rPr>
        <w:t>.</w:t>
      </w:r>
      <w:r w:rsidR="003D60AD">
        <w:rPr>
          <w:sz w:val="26"/>
          <w:szCs w:val="26"/>
          <w:lang w:val="en-CA"/>
        </w:rPr>
        <w:t xml:space="preserve">  As discussed in Section </w:t>
      </w:r>
      <w:proofErr w:type="gramStart"/>
      <w:r w:rsidR="003D60AD">
        <w:rPr>
          <w:sz w:val="26"/>
          <w:szCs w:val="26"/>
          <w:lang w:val="en-CA"/>
        </w:rPr>
        <w:t>III(</w:t>
      </w:r>
      <w:proofErr w:type="gramEnd"/>
      <w:r w:rsidR="003D60AD">
        <w:rPr>
          <w:sz w:val="26"/>
          <w:szCs w:val="26"/>
          <w:lang w:val="en-CA"/>
        </w:rPr>
        <w:t>A), Regional Costs charged to LUC from APUC are allocated to the utilities in that region using the Utility Four Factor Methodology.</w:t>
      </w:r>
    </w:p>
    <w:p w:rsidR="00877036" w:rsidRDefault="00877036" w:rsidP="00056700">
      <w:pPr>
        <w:ind w:firstLine="720"/>
        <w:jc w:val="both"/>
        <w:rPr>
          <w:sz w:val="26"/>
          <w:szCs w:val="26"/>
          <w:lang w:val="en-CA"/>
        </w:rPr>
      </w:pPr>
    </w:p>
    <w:p w:rsidR="00E04033" w:rsidRDefault="006B16B4" w:rsidP="00CB1D11">
      <w:pPr>
        <w:ind w:firstLine="720"/>
        <w:jc w:val="both"/>
        <w:rPr>
          <w:sz w:val="26"/>
          <w:szCs w:val="26"/>
        </w:rPr>
      </w:pPr>
      <w:r w:rsidRPr="00CB1D11">
        <w:rPr>
          <w:sz w:val="26"/>
          <w:szCs w:val="26"/>
        </w:rPr>
        <w:t xml:space="preserve">The following simplified hypothetical example demonstrates how the </w:t>
      </w:r>
      <w:r w:rsidR="00213AA7">
        <w:rPr>
          <w:sz w:val="26"/>
          <w:szCs w:val="26"/>
        </w:rPr>
        <w:t>Utility F</w:t>
      </w:r>
      <w:r w:rsidRPr="00CB1D11">
        <w:rPr>
          <w:sz w:val="26"/>
          <w:szCs w:val="26"/>
        </w:rPr>
        <w:t xml:space="preserve">our </w:t>
      </w:r>
      <w:r w:rsidR="00213AA7">
        <w:rPr>
          <w:sz w:val="26"/>
          <w:szCs w:val="26"/>
        </w:rPr>
        <w:t>F</w:t>
      </w:r>
      <w:r w:rsidRPr="00CB1D11">
        <w:rPr>
          <w:sz w:val="26"/>
          <w:szCs w:val="26"/>
        </w:rPr>
        <w:t xml:space="preserve">actor </w:t>
      </w:r>
      <w:r w:rsidR="00213AA7">
        <w:rPr>
          <w:sz w:val="26"/>
          <w:szCs w:val="26"/>
        </w:rPr>
        <w:t>M</w:t>
      </w:r>
      <w:r w:rsidRPr="00CB1D11">
        <w:rPr>
          <w:sz w:val="26"/>
          <w:szCs w:val="26"/>
        </w:rPr>
        <w:t>ethodology would be calculated based on ownership of only two hypothetical utilities:</w:t>
      </w:r>
    </w:p>
    <w:tbl>
      <w:tblPr>
        <w:tblpPr w:leftFromText="180" w:rightFromText="180" w:vertAnchor="text" w:tblpY="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0"/>
        <w:gridCol w:w="1088"/>
        <w:gridCol w:w="1080"/>
        <w:gridCol w:w="1260"/>
        <w:gridCol w:w="1170"/>
        <w:gridCol w:w="1170"/>
        <w:gridCol w:w="1728"/>
      </w:tblGrid>
      <w:tr w:rsidR="00690CBC" w:rsidRPr="009C4003" w:rsidTr="00690CBC">
        <w:tc>
          <w:tcPr>
            <w:tcW w:w="1720" w:type="dxa"/>
            <w:shd w:val="clear" w:color="auto" w:fill="CCCCCC"/>
          </w:tcPr>
          <w:p w:rsidR="00690CBC" w:rsidRPr="009C4003" w:rsidRDefault="00690CBC" w:rsidP="00690CBC">
            <w:pPr>
              <w:jc w:val="center"/>
              <w:rPr>
                <w:b/>
                <w:sz w:val="22"/>
                <w:szCs w:val="22"/>
              </w:rPr>
            </w:pPr>
          </w:p>
          <w:p w:rsidR="00690CBC" w:rsidRPr="009C4003" w:rsidRDefault="00690CBC" w:rsidP="00690CBC">
            <w:pPr>
              <w:jc w:val="center"/>
              <w:rPr>
                <w:b/>
                <w:sz w:val="22"/>
                <w:szCs w:val="22"/>
              </w:rPr>
            </w:pPr>
          </w:p>
          <w:p w:rsidR="00690CBC" w:rsidRPr="009C4003" w:rsidRDefault="00690CBC" w:rsidP="00690CBC">
            <w:pPr>
              <w:jc w:val="center"/>
              <w:rPr>
                <w:b/>
                <w:sz w:val="22"/>
                <w:szCs w:val="22"/>
              </w:rPr>
            </w:pPr>
            <w:r w:rsidRPr="009C4003">
              <w:rPr>
                <w:b/>
                <w:sz w:val="22"/>
                <w:szCs w:val="22"/>
              </w:rPr>
              <w:t>FACTOR</w:t>
            </w:r>
          </w:p>
        </w:tc>
        <w:tc>
          <w:tcPr>
            <w:tcW w:w="1088" w:type="dxa"/>
            <w:shd w:val="clear" w:color="auto" w:fill="CCCCCC"/>
          </w:tcPr>
          <w:p w:rsidR="00690CBC" w:rsidRPr="009C4003" w:rsidRDefault="00690CBC" w:rsidP="00690CBC">
            <w:pPr>
              <w:jc w:val="center"/>
              <w:rPr>
                <w:b/>
                <w:sz w:val="22"/>
                <w:szCs w:val="22"/>
              </w:rPr>
            </w:pPr>
          </w:p>
          <w:p w:rsidR="00690CBC" w:rsidRPr="009C4003" w:rsidRDefault="00690CBC" w:rsidP="00690CBC">
            <w:pPr>
              <w:jc w:val="center"/>
              <w:rPr>
                <w:b/>
                <w:sz w:val="22"/>
                <w:szCs w:val="22"/>
              </w:rPr>
            </w:pPr>
          </w:p>
          <w:p w:rsidR="00690CBC" w:rsidRPr="009C4003" w:rsidRDefault="00690CBC" w:rsidP="00690CBC">
            <w:pPr>
              <w:rPr>
                <w:b/>
                <w:sz w:val="22"/>
                <w:szCs w:val="22"/>
              </w:rPr>
            </w:pPr>
            <w:r>
              <w:rPr>
                <w:b/>
                <w:sz w:val="22"/>
                <w:szCs w:val="22"/>
              </w:rPr>
              <w:t xml:space="preserve"> Utility 1</w:t>
            </w:r>
          </w:p>
        </w:tc>
        <w:tc>
          <w:tcPr>
            <w:tcW w:w="1080" w:type="dxa"/>
            <w:shd w:val="clear" w:color="auto" w:fill="CCCCCC"/>
          </w:tcPr>
          <w:p w:rsidR="00690CBC" w:rsidRPr="009C4003" w:rsidRDefault="00690CBC" w:rsidP="00690CBC">
            <w:pPr>
              <w:jc w:val="center"/>
              <w:rPr>
                <w:b/>
                <w:sz w:val="22"/>
                <w:szCs w:val="22"/>
              </w:rPr>
            </w:pPr>
          </w:p>
          <w:p w:rsidR="00690CBC" w:rsidRPr="009C4003" w:rsidRDefault="00690CBC" w:rsidP="00690CBC">
            <w:pPr>
              <w:jc w:val="center"/>
              <w:rPr>
                <w:b/>
                <w:sz w:val="22"/>
                <w:szCs w:val="22"/>
              </w:rPr>
            </w:pPr>
          </w:p>
          <w:p w:rsidR="00690CBC" w:rsidRPr="009C4003" w:rsidRDefault="00690CBC" w:rsidP="00690CBC">
            <w:pPr>
              <w:jc w:val="center"/>
              <w:rPr>
                <w:b/>
                <w:sz w:val="22"/>
                <w:szCs w:val="22"/>
              </w:rPr>
            </w:pPr>
            <w:r>
              <w:rPr>
                <w:b/>
                <w:sz w:val="22"/>
                <w:szCs w:val="22"/>
              </w:rPr>
              <w:t>Utility 2</w:t>
            </w:r>
          </w:p>
        </w:tc>
        <w:tc>
          <w:tcPr>
            <w:tcW w:w="1260" w:type="dxa"/>
            <w:shd w:val="clear" w:color="auto" w:fill="CCCCCC"/>
          </w:tcPr>
          <w:p w:rsidR="00690CBC" w:rsidRPr="009C4003" w:rsidRDefault="00690CBC" w:rsidP="00690CBC">
            <w:pPr>
              <w:jc w:val="center"/>
              <w:rPr>
                <w:b/>
                <w:sz w:val="22"/>
                <w:szCs w:val="22"/>
              </w:rPr>
            </w:pPr>
            <w:r w:rsidRPr="009C4003">
              <w:rPr>
                <w:b/>
                <w:sz w:val="22"/>
                <w:szCs w:val="22"/>
              </w:rPr>
              <w:t>TOTAL ALL UTILTIES</w:t>
            </w:r>
          </w:p>
        </w:tc>
        <w:tc>
          <w:tcPr>
            <w:tcW w:w="1170" w:type="dxa"/>
            <w:shd w:val="clear" w:color="auto" w:fill="CCCCCC"/>
          </w:tcPr>
          <w:p w:rsidR="00690CBC" w:rsidRPr="009C4003" w:rsidRDefault="00690CBC" w:rsidP="00690CBC">
            <w:pPr>
              <w:jc w:val="center"/>
              <w:rPr>
                <w:b/>
                <w:sz w:val="22"/>
                <w:szCs w:val="22"/>
              </w:rPr>
            </w:pPr>
            <w:r>
              <w:rPr>
                <w:b/>
                <w:sz w:val="22"/>
                <w:szCs w:val="22"/>
              </w:rPr>
              <w:t xml:space="preserve">UTILITY 1 </w:t>
            </w:r>
            <w:r w:rsidRPr="009C4003">
              <w:rPr>
                <w:b/>
                <w:sz w:val="22"/>
                <w:szCs w:val="22"/>
              </w:rPr>
              <w:t xml:space="preserve"> % OF TOTAL</w:t>
            </w:r>
          </w:p>
        </w:tc>
        <w:tc>
          <w:tcPr>
            <w:tcW w:w="1170" w:type="dxa"/>
            <w:shd w:val="clear" w:color="auto" w:fill="CCCCCC"/>
          </w:tcPr>
          <w:p w:rsidR="00690CBC" w:rsidRPr="009C4003" w:rsidRDefault="00690CBC" w:rsidP="00690CBC">
            <w:pPr>
              <w:jc w:val="center"/>
              <w:rPr>
                <w:b/>
                <w:sz w:val="22"/>
                <w:szCs w:val="22"/>
              </w:rPr>
            </w:pPr>
          </w:p>
          <w:p w:rsidR="00690CBC" w:rsidRPr="009C4003" w:rsidRDefault="00690CBC" w:rsidP="00690CBC">
            <w:pPr>
              <w:jc w:val="center"/>
              <w:rPr>
                <w:b/>
                <w:sz w:val="22"/>
                <w:szCs w:val="22"/>
              </w:rPr>
            </w:pPr>
            <w:r w:rsidRPr="009C4003">
              <w:rPr>
                <w:b/>
                <w:sz w:val="22"/>
                <w:szCs w:val="22"/>
              </w:rPr>
              <w:t>FACTOR WEIGHT</w:t>
            </w:r>
          </w:p>
        </w:tc>
        <w:tc>
          <w:tcPr>
            <w:tcW w:w="1728" w:type="dxa"/>
            <w:shd w:val="clear" w:color="auto" w:fill="CCCCCC"/>
          </w:tcPr>
          <w:p w:rsidR="00690CBC" w:rsidRPr="009C4003" w:rsidRDefault="00690CBC" w:rsidP="00690CBC">
            <w:pPr>
              <w:jc w:val="center"/>
              <w:rPr>
                <w:b/>
                <w:sz w:val="22"/>
                <w:szCs w:val="22"/>
              </w:rPr>
            </w:pPr>
          </w:p>
          <w:p w:rsidR="00690CBC" w:rsidRPr="009C4003" w:rsidRDefault="00690CBC" w:rsidP="00690CBC">
            <w:pPr>
              <w:jc w:val="center"/>
              <w:rPr>
                <w:b/>
                <w:sz w:val="22"/>
                <w:szCs w:val="22"/>
              </w:rPr>
            </w:pPr>
            <w:r>
              <w:rPr>
                <w:b/>
                <w:sz w:val="22"/>
                <w:szCs w:val="22"/>
              </w:rPr>
              <w:t>UTILITY 1</w:t>
            </w:r>
            <w:r w:rsidRPr="009C4003">
              <w:rPr>
                <w:b/>
                <w:sz w:val="22"/>
                <w:szCs w:val="22"/>
              </w:rPr>
              <w:t xml:space="preserve"> ALLOCATION</w:t>
            </w:r>
          </w:p>
        </w:tc>
      </w:tr>
      <w:tr w:rsidR="00690CBC" w:rsidRPr="009C4003" w:rsidTr="00690CBC">
        <w:tc>
          <w:tcPr>
            <w:tcW w:w="1720" w:type="dxa"/>
          </w:tcPr>
          <w:p w:rsidR="00690CBC" w:rsidRPr="009C4003" w:rsidRDefault="00690CBC" w:rsidP="00690CBC">
            <w:pPr>
              <w:jc w:val="center"/>
              <w:rPr>
                <w:b/>
                <w:sz w:val="22"/>
                <w:szCs w:val="22"/>
              </w:rPr>
            </w:pPr>
            <w:r w:rsidRPr="009C4003">
              <w:rPr>
                <w:b/>
                <w:sz w:val="22"/>
                <w:szCs w:val="22"/>
              </w:rPr>
              <w:t>UTILITY PLANT</w:t>
            </w:r>
          </w:p>
        </w:tc>
        <w:tc>
          <w:tcPr>
            <w:tcW w:w="1088" w:type="dxa"/>
          </w:tcPr>
          <w:p w:rsidR="00690CBC" w:rsidRPr="009C4003" w:rsidRDefault="00690CBC" w:rsidP="00690CBC">
            <w:pPr>
              <w:jc w:val="center"/>
              <w:rPr>
                <w:b/>
                <w:sz w:val="22"/>
                <w:szCs w:val="22"/>
              </w:rPr>
            </w:pPr>
            <w:r w:rsidRPr="009C4003">
              <w:rPr>
                <w:b/>
                <w:sz w:val="22"/>
                <w:szCs w:val="22"/>
              </w:rPr>
              <w:t>727</w:t>
            </w:r>
          </w:p>
        </w:tc>
        <w:tc>
          <w:tcPr>
            <w:tcW w:w="1080" w:type="dxa"/>
          </w:tcPr>
          <w:p w:rsidR="00690CBC" w:rsidRPr="009C4003" w:rsidRDefault="00690CBC" w:rsidP="00690CBC">
            <w:pPr>
              <w:jc w:val="center"/>
              <w:rPr>
                <w:b/>
                <w:sz w:val="22"/>
                <w:szCs w:val="22"/>
              </w:rPr>
            </w:pPr>
            <w:r w:rsidRPr="009C4003">
              <w:rPr>
                <w:b/>
                <w:sz w:val="22"/>
                <w:szCs w:val="22"/>
              </w:rPr>
              <w:t>371</w:t>
            </w:r>
          </w:p>
        </w:tc>
        <w:tc>
          <w:tcPr>
            <w:tcW w:w="1260" w:type="dxa"/>
          </w:tcPr>
          <w:p w:rsidR="00690CBC" w:rsidRPr="009C4003" w:rsidRDefault="00690CBC" w:rsidP="00690CBC">
            <w:pPr>
              <w:jc w:val="center"/>
              <w:rPr>
                <w:b/>
                <w:sz w:val="22"/>
                <w:szCs w:val="22"/>
              </w:rPr>
            </w:pPr>
            <w:r w:rsidRPr="009C4003">
              <w:rPr>
                <w:b/>
                <w:sz w:val="22"/>
                <w:szCs w:val="22"/>
              </w:rPr>
              <w:t>1098</w:t>
            </w:r>
          </w:p>
        </w:tc>
        <w:tc>
          <w:tcPr>
            <w:tcW w:w="1170" w:type="dxa"/>
          </w:tcPr>
          <w:p w:rsidR="00690CBC" w:rsidRPr="009C4003" w:rsidRDefault="00690CBC" w:rsidP="00690CBC">
            <w:pPr>
              <w:jc w:val="center"/>
              <w:rPr>
                <w:b/>
                <w:sz w:val="22"/>
                <w:szCs w:val="22"/>
              </w:rPr>
            </w:pPr>
            <w:r w:rsidRPr="009C4003">
              <w:rPr>
                <w:b/>
                <w:sz w:val="22"/>
                <w:szCs w:val="22"/>
              </w:rPr>
              <w:t>66%</w:t>
            </w:r>
          </w:p>
        </w:tc>
        <w:tc>
          <w:tcPr>
            <w:tcW w:w="1170" w:type="dxa"/>
          </w:tcPr>
          <w:p w:rsidR="00690CBC" w:rsidRPr="009C4003" w:rsidRDefault="00690CBC" w:rsidP="00690CBC">
            <w:pPr>
              <w:jc w:val="center"/>
              <w:rPr>
                <w:b/>
                <w:sz w:val="22"/>
                <w:szCs w:val="22"/>
              </w:rPr>
            </w:pPr>
            <w:r w:rsidRPr="009C4003">
              <w:rPr>
                <w:b/>
                <w:sz w:val="22"/>
                <w:szCs w:val="22"/>
              </w:rPr>
              <w:t>50%</w:t>
            </w:r>
          </w:p>
        </w:tc>
        <w:tc>
          <w:tcPr>
            <w:tcW w:w="1728" w:type="dxa"/>
          </w:tcPr>
          <w:p w:rsidR="00690CBC" w:rsidRPr="009C4003" w:rsidRDefault="00690CBC" w:rsidP="00690CBC">
            <w:pPr>
              <w:jc w:val="center"/>
              <w:rPr>
                <w:b/>
                <w:sz w:val="22"/>
                <w:szCs w:val="22"/>
              </w:rPr>
            </w:pPr>
            <w:r w:rsidRPr="009C4003">
              <w:rPr>
                <w:b/>
                <w:sz w:val="22"/>
                <w:szCs w:val="22"/>
              </w:rPr>
              <w:t>33%</w:t>
            </w:r>
          </w:p>
        </w:tc>
      </w:tr>
      <w:tr w:rsidR="00690CBC" w:rsidRPr="009C4003" w:rsidTr="00690CBC">
        <w:tc>
          <w:tcPr>
            <w:tcW w:w="1720" w:type="dxa"/>
          </w:tcPr>
          <w:p w:rsidR="00690CBC" w:rsidRPr="009C4003" w:rsidRDefault="00690CBC" w:rsidP="00690CBC">
            <w:pPr>
              <w:jc w:val="center"/>
              <w:rPr>
                <w:b/>
                <w:sz w:val="22"/>
                <w:szCs w:val="22"/>
              </w:rPr>
            </w:pPr>
            <w:r w:rsidRPr="009C4003">
              <w:rPr>
                <w:b/>
                <w:sz w:val="22"/>
                <w:szCs w:val="22"/>
              </w:rPr>
              <w:t>CUSTOMER COUNT</w:t>
            </w:r>
          </w:p>
        </w:tc>
        <w:tc>
          <w:tcPr>
            <w:tcW w:w="1088" w:type="dxa"/>
          </w:tcPr>
          <w:p w:rsidR="00690CBC" w:rsidRPr="009C4003" w:rsidRDefault="00690CBC" w:rsidP="00690CBC">
            <w:pPr>
              <w:jc w:val="center"/>
              <w:rPr>
                <w:b/>
                <w:sz w:val="22"/>
                <w:szCs w:val="22"/>
              </w:rPr>
            </w:pPr>
            <w:r w:rsidRPr="009C4003">
              <w:rPr>
                <w:b/>
                <w:sz w:val="22"/>
                <w:szCs w:val="22"/>
              </w:rPr>
              <w:t>6000</w:t>
            </w:r>
          </w:p>
        </w:tc>
        <w:tc>
          <w:tcPr>
            <w:tcW w:w="1080" w:type="dxa"/>
          </w:tcPr>
          <w:p w:rsidR="00690CBC" w:rsidRPr="009C4003" w:rsidRDefault="00690CBC" w:rsidP="00690CBC">
            <w:pPr>
              <w:jc w:val="center"/>
              <w:rPr>
                <w:b/>
                <w:sz w:val="22"/>
                <w:szCs w:val="22"/>
              </w:rPr>
            </w:pPr>
            <w:r w:rsidRPr="009C4003">
              <w:rPr>
                <w:b/>
                <w:sz w:val="22"/>
                <w:szCs w:val="22"/>
              </w:rPr>
              <w:t>1000</w:t>
            </w:r>
          </w:p>
        </w:tc>
        <w:tc>
          <w:tcPr>
            <w:tcW w:w="1260" w:type="dxa"/>
          </w:tcPr>
          <w:p w:rsidR="00690CBC" w:rsidRPr="009C4003" w:rsidRDefault="00690CBC" w:rsidP="00690CBC">
            <w:pPr>
              <w:jc w:val="center"/>
              <w:rPr>
                <w:b/>
                <w:sz w:val="22"/>
                <w:szCs w:val="22"/>
              </w:rPr>
            </w:pPr>
            <w:r w:rsidRPr="009C4003">
              <w:rPr>
                <w:b/>
                <w:sz w:val="22"/>
                <w:szCs w:val="22"/>
              </w:rPr>
              <w:t>7000</w:t>
            </w:r>
          </w:p>
        </w:tc>
        <w:tc>
          <w:tcPr>
            <w:tcW w:w="1170" w:type="dxa"/>
          </w:tcPr>
          <w:p w:rsidR="00690CBC" w:rsidRPr="009C4003" w:rsidRDefault="00690CBC" w:rsidP="00690CBC">
            <w:pPr>
              <w:jc w:val="center"/>
              <w:rPr>
                <w:b/>
                <w:sz w:val="22"/>
                <w:szCs w:val="22"/>
              </w:rPr>
            </w:pPr>
            <w:r w:rsidRPr="009C4003">
              <w:rPr>
                <w:b/>
                <w:sz w:val="22"/>
                <w:szCs w:val="22"/>
              </w:rPr>
              <w:t>86%</w:t>
            </w:r>
          </w:p>
        </w:tc>
        <w:tc>
          <w:tcPr>
            <w:tcW w:w="1170" w:type="dxa"/>
          </w:tcPr>
          <w:p w:rsidR="00690CBC" w:rsidRPr="009C4003" w:rsidRDefault="00690CBC" w:rsidP="00690CBC">
            <w:pPr>
              <w:jc w:val="center"/>
              <w:rPr>
                <w:b/>
                <w:sz w:val="22"/>
                <w:szCs w:val="22"/>
              </w:rPr>
            </w:pPr>
            <w:r w:rsidRPr="009C4003">
              <w:rPr>
                <w:b/>
                <w:sz w:val="22"/>
                <w:szCs w:val="22"/>
              </w:rPr>
              <w:t>40%</w:t>
            </w:r>
          </w:p>
        </w:tc>
        <w:tc>
          <w:tcPr>
            <w:tcW w:w="1728" w:type="dxa"/>
          </w:tcPr>
          <w:p w:rsidR="00690CBC" w:rsidRPr="009C4003" w:rsidRDefault="00690CBC" w:rsidP="00690CBC">
            <w:pPr>
              <w:jc w:val="center"/>
              <w:rPr>
                <w:b/>
                <w:sz w:val="22"/>
                <w:szCs w:val="22"/>
              </w:rPr>
            </w:pPr>
            <w:r w:rsidRPr="009C4003">
              <w:rPr>
                <w:b/>
                <w:sz w:val="22"/>
                <w:szCs w:val="22"/>
              </w:rPr>
              <w:t>34%</w:t>
            </w:r>
          </w:p>
        </w:tc>
      </w:tr>
      <w:tr w:rsidR="00690CBC" w:rsidRPr="009C4003" w:rsidTr="00690CBC">
        <w:tc>
          <w:tcPr>
            <w:tcW w:w="1720" w:type="dxa"/>
          </w:tcPr>
          <w:p w:rsidR="00690CBC" w:rsidRPr="009C4003" w:rsidRDefault="00690CBC" w:rsidP="00690CBC">
            <w:pPr>
              <w:jc w:val="center"/>
              <w:rPr>
                <w:b/>
                <w:sz w:val="22"/>
                <w:szCs w:val="22"/>
              </w:rPr>
            </w:pPr>
            <w:r w:rsidRPr="009C4003">
              <w:rPr>
                <w:b/>
                <w:sz w:val="22"/>
                <w:szCs w:val="22"/>
              </w:rPr>
              <w:t>LABOR COSTS</w:t>
            </w:r>
          </w:p>
        </w:tc>
        <w:tc>
          <w:tcPr>
            <w:tcW w:w="1088" w:type="dxa"/>
          </w:tcPr>
          <w:p w:rsidR="00690CBC" w:rsidRPr="009C4003" w:rsidRDefault="00690CBC" w:rsidP="00690CBC">
            <w:pPr>
              <w:jc w:val="center"/>
              <w:rPr>
                <w:b/>
                <w:sz w:val="22"/>
                <w:szCs w:val="22"/>
              </w:rPr>
            </w:pPr>
            <w:r w:rsidRPr="009C4003">
              <w:rPr>
                <w:b/>
                <w:sz w:val="22"/>
                <w:szCs w:val="22"/>
              </w:rPr>
              <w:t>57</w:t>
            </w:r>
          </w:p>
        </w:tc>
        <w:tc>
          <w:tcPr>
            <w:tcW w:w="1080" w:type="dxa"/>
          </w:tcPr>
          <w:p w:rsidR="00690CBC" w:rsidRPr="009C4003" w:rsidRDefault="00690CBC" w:rsidP="00690CBC">
            <w:pPr>
              <w:jc w:val="center"/>
              <w:rPr>
                <w:b/>
                <w:sz w:val="22"/>
                <w:szCs w:val="22"/>
              </w:rPr>
            </w:pPr>
            <w:r w:rsidRPr="009C4003">
              <w:rPr>
                <w:b/>
                <w:sz w:val="22"/>
                <w:szCs w:val="22"/>
              </w:rPr>
              <w:t>32</w:t>
            </w:r>
          </w:p>
        </w:tc>
        <w:tc>
          <w:tcPr>
            <w:tcW w:w="1260" w:type="dxa"/>
          </w:tcPr>
          <w:p w:rsidR="00690CBC" w:rsidRPr="009C4003" w:rsidRDefault="00690CBC" w:rsidP="00690CBC">
            <w:pPr>
              <w:jc w:val="center"/>
              <w:rPr>
                <w:b/>
                <w:sz w:val="22"/>
                <w:szCs w:val="22"/>
              </w:rPr>
            </w:pPr>
            <w:r w:rsidRPr="009C4003">
              <w:rPr>
                <w:b/>
                <w:sz w:val="22"/>
                <w:szCs w:val="22"/>
              </w:rPr>
              <w:t>89</w:t>
            </w:r>
          </w:p>
        </w:tc>
        <w:tc>
          <w:tcPr>
            <w:tcW w:w="1170" w:type="dxa"/>
          </w:tcPr>
          <w:p w:rsidR="00690CBC" w:rsidRPr="009C4003" w:rsidRDefault="00690CBC" w:rsidP="00690CBC">
            <w:pPr>
              <w:jc w:val="center"/>
              <w:rPr>
                <w:b/>
                <w:sz w:val="22"/>
                <w:szCs w:val="22"/>
              </w:rPr>
            </w:pPr>
            <w:r w:rsidRPr="009C4003">
              <w:rPr>
                <w:b/>
                <w:sz w:val="22"/>
                <w:szCs w:val="22"/>
              </w:rPr>
              <w:t>64%</w:t>
            </w:r>
          </w:p>
        </w:tc>
        <w:tc>
          <w:tcPr>
            <w:tcW w:w="1170" w:type="dxa"/>
          </w:tcPr>
          <w:p w:rsidR="00690CBC" w:rsidRPr="009C4003" w:rsidRDefault="00690CBC" w:rsidP="00690CBC">
            <w:pPr>
              <w:jc w:val="center"/>
              <w:rPr>
                <w:b/>
                <w:sz w:val="22"/>
                <w:szCs w:val="22"/>
              </w:rPr>
            </w:pPr>
            <w:r w:rsidRPr="009C4003">
              <w:rPr>
                <w:b/>
                <w:sz w:val="22"/>
                <w:szCs w:val="22"/>
              </w:rPr>
              <w:t>5%</w:t>
            </w:r>
          </w:p>
        </w:tc>
        <w:tc>
          <w:tcPr>
            <w:tcW w:w="1728" w:type="dxa"/>
          </w:tcPr>
          <w:p w:rsidR="00690CBC" w:rsidRPr="009C4003" w:rsidRDefault="00690CBC" w:rsidP="00690CBC">
            <w:pPr>
              <w:jc w:val="center"/>
              <w:rPr>
                <w:b/>
                <w:sz w:val="22"/>
                <w:szCs w:val="22"/>
              </w:rPr>
            </w:pPr>
            <w:r w:rsidRPr="009C4003">
              <w:rPr>
                <w:b/>
                <w:sz w:val="22"/>
                <w:szCs w:val="22"/>
              </w:rPr>
              <w:t>3%</w:t>
            </w:r>
          </w:p>
        </w:tc>
      </w:tr>
      <w:tr w:rsidR="00690CBC" w:rsidRPr="009C4003" w:rsidTr="00690CBC">
        <w:tc>
          <w:tcPr>
            <w:tcW w:w="1720" w:type="dxa"/>
            <w:tcBorders>
              <w:bottom w:val="single" w:sz="4" w:space="0" w:color="auto"/>
            </w:tcBorders>
          </w:tcPr>
          <w:p w:rsidR="00690CBC" w:rsidRPr="009C4003" w:rsidRDefault="00690CBC" w:rsidP="00690CBC">
            <w:pPr>
              <w:jc w:val="center"/>
              <w:rPr>
                <w:b/>
                <w:sz w:val="22"/>
                <w:szCs w:val="22"/>
              </w:rPr>
            </w:pPr>
            <w:r w:rsidRPr="009C4003">
              <w:rPr>
                <w:b/>
                <w:sz w:val="22"/>
                <w:szCs w:val="22"/>
              </w:rPr>
              <w:t>EXPENSES</w:t>
            </w:r>
          </w:p>
        </w:tc>
        <w:tc>
          <w:tcPr>
            <w:tcW w:w="1088" w:type="dxa"/>
            <w:tcBorders>
              <w:bottom w:val="single" w:sz="4" w:space="0" w:color="auto"/>
            </w:tcBorders>
          </w:tcPr>
          <w:p w:rsidR="00690CBC" w:rsidRPr="009C4003" w:rsidRDefault="00690CBC" w:rsidP="00690CBC">
            <w:pPr>
              <w:jc w:val="center"/>
              <w:rPr>
                <w:b/>
                <w:sz w:val="22"/>
                <w:szCs w:val="22"/>
              </w:rPr>
            </w:pPr>
            <w:r w:rsidRPr="009C4003">
              <w:rPr>
                <w:b/>
                <w:sz w:val="22"/>
                <w:szCs w:val="22"/>
              </w:rPr>
              <w:t>108</w:t>
            </w:r>
          </w:p>
        </w:tc>
        <w:tc>
          <w:tcPr>
            <w:tcW w:w="1080" w:type="dxa"/>
            <w:tcBorders>
              <w:bottom w:val="single" w:sz="4" w:space="0" w:color="auto"/>
            </w:tcBorders>
          </w:tcPr>
          <w:p w:rsidR="00690CBC" w:rsidRPr="009C4003" w:rsidRDefault="00690CBC" w:rsidP="00690CBC">
            <w:pPr>
              <w:jc w:val="center"/>
              <w:rPr>
                <w:b/>
                <w:sz w:val="22"/>
                <w:szCs w:val="22"/>
              </w:rPr>
            </w:pPr>
            <w:r w:rsidRPr="009C4003">
              <w:rPr>
                <w:b/>
                <w:sz w:val="22"/>
                <w:szCs w:val="22"/>
              </w:rPr>
              <w:t>41</w:t>
            </w:r>
          </w:p>
        </w:tc>
        <w:tc>
          <w:tcPr>
            <w:tcW w:w="1260" w:type="dxa"/>
            <w:tcBorders>
              <w:bottom w:val="single" w:sz="4" w:space="0" w:color="auto"/>
            </w:tcBorders>
          </w:tcPr>
          <w:p w:rsidR="00690CBC" w:rsidRPr="009C4003" w:rsidRDefault="00690CBC" w:rsidP="00690CBC">
            <w:pPr>
              <w:jc w:val="center"/>
              <w:rPr>
                <w:b/>
                <w:sz w:val="22"/>
                <w:szCs w:val="22"/>
              </w:rPr>
            </w:pPr>
            <w:r w:rsidRPr="009C4003">
              <w:rPr>
                <w:b/>
                <w:sz w:val="22"/>
                <w:szCs w:val="22"/>
              </w:rPr>
              <w:t>149</w:t>
            </w:r>
          </w:p>
        </w:tc>
        <w:tc>
          <w:tcPr>
            <w:tcW w:w="1170" w:type="dxa"/>
            <w:tcBorders>
              <w:bottom w:val="single" w:sz="4" w:space="0" w:color="auto"/>
            </w:tcBorders>
          </w:tcPr>
          <w:p w:rsidR="00690CBC" w:rsidRPr="009C4003" w:rsidRDefault="00690CBC" w:rsidP="00690CBC">
            <w:pPr>
              <w:jc w:val="center"/>
              <w:rPr>
                <w:b/>
                <w:sz w:val="22"/>
                <w:szCs w:val="22"/>
              </w:rPr>
            </w:pPr>
            <w:r w:rsidRPr="009C4003">
              <w:rPr>
                <w:b/>
                <w:sz w:val="22"/>
                <w:szCs w:val="22"/>
              </w:rPr>
              <w:t>72%</w:t>
            </w:r>
          </w:p>
        </w:tc>
        <w:tc>
          <w:tcPr>
            <w:tcW w:w="1170" w:type="dxa"/>
            <w:tcBorders>
              <w:bottom w:val="single" w:sz="4" w:space="0" w:color="auto"/>
            </w:tcBorders>
          </w:tcPr>
          <w:p w:rsidR="00690CBC" w:rsidRPr="009C4003" w:rsidRDefault="00690CBC" w:rsidP="00690CBC">
            <w:pPr>
              <w:jc w:val="center"/>
              <w:rPr>
                <w:b/>
                <w:sz w:val="22"/>
                <w:szCs w:val="22"/>
              </w:rPr>
            </w:pPr>
            <w:r w:rsidRPr="009C4003">
              <w:rPr>
                <w:b/>
                <w:sz w:val="22"/>
                <w:szCs w:val="22"/>
              </w:rPr>
              <w:t>5%</w:t>
            </w:r>
          </w:p>
        </w:tc>
        <w:tc>
          <w:tcPr>
            <w:tcW w:w="1728" w:type="dxa"/>
            <w:tcBorders>
              <w:bottom w:val="single" w:sz="4" w:space="0" w:color="auto"/>
            </w:tcBorders>
          </w:tcPr>
          <w:p w:rsidR="00690CBC" w:rsidRPr="009C4003" w:rsidRDefault="00690CBC" w:rsidP="00690CBC">
            <w:pPr>
              <w:jc w:val="center"/>
              <w:rPr>
                <w:b/>
                <w:sz w:val="22"/>
                <w:szCs w:val="22"/>
              </w:rPr>
            </w:pPr>
            <w:r w:rsidRPr="009C4003">
              <w:rPr>
                <w:b/>
                <w:sz w:val="22"/>
                <w:szCs w:val="22"/>
              </w:rPr>
              <w:t>4%</w:t>
            </w:r>
          </w:p>
        </w:tc>
      </w:tr>
      <w:tr w:rsidR="00690CBC" w:rsidRPr="009C4003" w:rsidTr="00690CBC">
        <w:tc>
          <w:tcPr>
            <w:tcW w:w="1720" w:type="dxa"/>
            <w:shd w:val="clear" w:color="auto" w:fill="CCCCCC"/>
          </w:tcPr>
          <w:p w:rsidR="00690CBC" w:rsidRPr="009C4003" w:rsidRDefault="00690CBC" w:rsidP="00690CBC">
            <w:pPr>
              <w:jc w:val="center"/>
              <w:rPr>
                <w:b/>
                <w:sz w:val="22"/>
                <w:szCs w:val="22"/>
              </w:rPr>
            </w:pPr>
            <w:r w:rsidRPr="009C4003">
              <w:rPr>
                <w:b/>
                <w:sz w:val="22"/>
                <w:szCs w:val="22"/>
              </w:rPr>
              <w:t>TOTAL ALLOCAT</w:t>
            </w:r>
            <w:r>
              <w:rPr>
                <w:b/>
                <w:sz w:val="22"/>
                <w:szCs w:val="22"/>
              </w:rPr>
              <w:t>ION</w:t>
            </w:r>
          </w:p>
        </w:tc>
        <w:tc>
          <w:tcPr>
            <w:tcW w:w="1088" w:type="dxa"/>
            <w:shd w:val="clear" w:color="auto" w:fill="CCCCCC"/>
          </w:tcPr>
          <w:p w:rsidR="00690CBC" w:rsidRPr="009C4003" w:rsidRDefault="00690CBC" w:rsidP="00690CBC">
            <w:pPr>
              <w:jc w:val="center"/>
              <w:rPr>
                <w:b/>
                <w:sz w:val="22"/>
                <w:szCs w:val="22"/>
              </w:rPr>
            </w:pPr>
          </w:p>
        </w:tc>
        <w:tc>
          <w:tcPr>
            <w:tcW w:w="1080" w:type="dxa"/>
            <w:shd w:val="clear" w:color="auto" w:fill="CCCCCC"/>
          </w:tcPr>
          <w:p w:rsidR="00690CBC" w:rsidRPr="009C4003" w:rsidRDefault="00690CBC" w:rsidP="00690CBC">
            <w:pPr>
              <w:jc w:val="center"/>
              <w:rPr>
                <w:b/>
                <w:sz w:val="22"/>
                <w:szCs w:val="22"/>
              </w:rPr>
            </w:pPr>
          </w:p>
        </w:tc>
        <w:tc>
          <w:tcPr>
            <w:tcW w:w="1260" w:type="dxa"/>
            <w:shd w:val="clear" w:color="auto" w:fill="CCCCCC"/>
          </w:tcPr>
          <w:p w:rsidR="00690CBC" w:rsidRPr="009C4003" w:rsidRDefault="00690CBC" w:rsidP="00690CBC">
            <w:pPr>
              <w:jc w:val="center"/>
              <w:rPr>
                <w:b/>
                <w:sz w:val="22"/>
                <w:szCs w:val="22"/>
              </w:rPr>
            </w:pPr>
          </w:p>
        </w:tc>
        <w:tc>
          <w:tcPr>
            <w:tcW w:w="1170" w:type="dxa"/>
            <w:shd w:val="clear" w:color="auto" w:fill="CCCCCC"/>
          </w:tcPr>
          <w:p w:rsidR="00690CBC" w:rsidRPr="009C4003" w:rsidRDefault="00690CBC" w:rsidP="00690CBC">
            <w:pPr>
              <w:jc w:val="center"/>
              <w:rPr>
                <w:b/>
                <w:sz w:val="22"/>
                <w:szCs w:val="22"/>
              </w:rPr>
            </w:pPr>
          </w:p>
        </w:tc>
        <w:tc>
          <w:tcPr>
            <w:tcW w:w="1170" w:type="dxa"/>
            <w:shd w:val="clear" w:color="auto" w:fill="CCCCCC"/>
          </w:tcPr>
          <w:p w:rsidR="00690CBC" w:rsidRPr="009C4003" w:rsidRDefault="00690CBC" w:rsidP="00690CBC">
            <w:pPr>
              <w:jc w:val="center"/>
              <w:rPr>
                <w:b/>
                <w:sz w:val="22"/>
                <w:szCs w:val="22"/>
              </w:rPr>
            </w:pPr>
          </w:p>
        </w:tc>
        <w:tc>
          <w:tcPr>
            <w:tcW w:w="1728" w:type="dxa"/>
            <w:shd w:val="clear" w:color="auto" w:fill="CCCCCC"/>
          </w:tcPr>
          <w:p w:rsidR="00690CBC" w:rsidRPr="009C4003" w:rsidRDefault="00690CBC" w:rsidP="00690CBC">
            <w:pPr>
              <w:jc w:val="center"/>
              <w:rPr>
                <w:b/>
                <w:sz w:val="22"/>
                <w:szCs w:val="22"/>
              </w:rPr>
            </w:pPr>
            <w:r w:rsidRPr="009C4003">
              <w:rPr>
                <w:b/>
                <w:sz w:val="22"/>
                <w:szCs w:val="22"/>
              </w:rPr>
              <w:t>74%</w:t>
            </w:r>
          </w:p>
        </w:tc>
      </w:tr>
    </w:tbl>
    <w:p w:rsidR="00CB1D11" w:rsidRPr="00CB1D11" w:rsidRDefault="00CB1D11" w:rsidP="00CB1D11">
      <w:pPr>
        <w:ind w:firstLine="720"/>
        <w:jc w:val="both"/>
        <w:rPr>
          <w:sz w:val="26"/>
          <w:szCs w:val="26"/>
        </w:rPr>
      </w:pPr>
    </w:p>
    <w:p w:rsidR="00471C41" w:rsidRDefault="006B16B4" w:rsidP="000E6C2E">
      <w:pPr>
        <w:ind w:firstLine="720"/>
        <w:jc w:val="both"/>
        <w:rPr>
          <w:sz w:val="26"/>
          <w:szCs w:val="26"/>
        </w:rPr>
      </w:pPr>
      <w:r w:rsidRPr="00CB1D11">
        <w:rPr>
          <w:sz w:val="26"/>
          <w:szCs w:val="26"/>
        </w:rPr>
        <w:t xml:space="preserve">As can be seen from these hypothetical numbers, Utility 1 would be allocated 74% of total Administrative/Overhead Costs incurred by </w:t>
      </w:r>
      <w:r w:rsidR="00877036">
        <w:rPr>
          <w:sz w:val="26"/>
          <w:szCs w:val="26"/>
        </w:rPr>
        <w:t>LUC</w:t>
      </w:r>
      <w:r w:rsidRPr="00CB1D11">
        <w:rPr>
          <w:sz w:val="26"/>
          <w:szCs w:val="26"/>
        </w:rPr>
        <w:t xml:space="preserve">, based on its relative size and application of the </w:t>
      </w:r>
      <w:r w:rsidR="00213AA7">
        <w:rPr>
          <w:sz w:val="26"/>
          <w:szCs w:val="26"/>
        </w:rPr>
        <w:t>Utility F</w:t>
      </w:r>
      <w:r w:rsidRPr="00CB1D11">
        <w:rPr>
          <w:sz w:val="26"/>
          <w:szCs w:val="26"/>
        </w:rPr>
        <w:t xml:space="preserve">our </w:t>
      </w:r>
      <w:r w:rsidR="00213AA7">
        <w:rPr>
          <w:sz w:val="26"/>
          <w:szCs w:val="26"/>
        </w:rPr>
        <w:t>F</w:t>
      </w:r>
      <w:r w:rsidRPr="00CB1D11">
        <w:rPr>
          <w:sz w:val="26"/>
          <w:szCs w:val="26"/>
        </w:rPr>
        <w:t>actor</w:t>
      </w:r>
      <w:r w:rsidR="00213AA7">
        <w:rPr>
          <w:sz w:val="26"/>
          <w:szCs w:val="26"/>
        </w:rPr>
        <w:t xml:space="preserve"> Methodology</w:t>
      </w:r>
      <w:r w:rsidRPr="00CB1D11">
        <w:rPr>
          <w:sz w:val="26"/>
          <w:szCs w:val="26"/>
        </w:rPr>
        <w:t xml:space="preserve"> in comparison to Utility 2.  Utility 2 would be allocated the remaining 26%. </w:t>
      </w:r>
      <w:r w:rsidR="00877036">
        <w:rPr>
          <w:sz w:val="26"/>
          <w:szCs w:val="26"/>
        </w:rPr>
        <w:t xml:space="preserve"> </w:t>
      </w:r>
      <w:r w:rsidRPr="00CB1D11">
        <w:rPr>
          <w:sz w:val="26"/>
          <w:szCs w:val="26"/>
        </w:rPr>
        <w:t>L</w:t>
      </w:r>
      <w:r w:rsidR="00877036">
        <w:rPr>
          <w:sz w:val="26"/>
          <w:szCs w:val="26"/>
        </w:rPr>
        <w:t>U</w:t>
      </w:r>
      <w:r w:rsidR="00213AA7">
        <w:rPr>
          <w:sz w:val="26"/>
          <w:szCs w:val="26"/>
        </w:rPr>
        <w:t>C</w:t>
      </w:r>
      <w:r w:rsidRPr="00CB1D11">
        <w:rPr>
          <w:sz w:val="26"/>
          <w:szCs w:val="26"/>
        </w:rPr>
        <w:t xml:space="preserve"> </w:t>
      </w:r>
      <w:r w:rsidR="00877036">
        <w:rPr>
          <w:sz w:val="26"/>
          <w:szCs w:val="26"/>
        </w:rPr>
        <w:t xml:space="preserve">has </w:t>
      </w:r>
      <w:r w:rsidRPr="00CB1D11">
        <w:rPr>
          <w:sz w:val="26"/>
          <w:szCs w:val="26"/>
        </w:rPr>
        <w:t>developed and utilized this methodology to better allocate costs, recognizing that larger utilities require more time and management attention and incur greater costs than smaller ones.</w:t>
      </w:r>
      <w:r w:rsidR="00C6522B">
        <w:rPr>
          <w:sz w:val="26"/>
          <w:szCs w:val="26"/>
        </w:rPr>
        <w:t xml:space="preserve"> </w:t>
      </w:r>
    </w:p>
    <w:p w:rsidR="0026272E" w:rsidRDefault="0026272E" w:rsidP="0026272E">
      <w:pPr>
        <w:rPr>
          <w:b/>
          <w:sz w:val="26"/>
          <w:szCs w:val="26"/>
        </w:rPr>
      </w:pPr>
    </w:p>
    <w:p w:rsidR="00650B8B" w:rsidRPr="007507C4" w:rsidRDefault="00650B8B" w:rsidP="00650B8B">
      <w:pPr>
        <w:ind w:firstLine="357"/>
        <w:rPr>
          <w:sz w:val="26"/>
          <w:szCs w:val="26"/>
        </w:rPr>
      </w:pPr>
      <w:r w:rsidRPr="007507C4">
        <w:rPr>
          <w:sz w:val="26"/>
          <w:szCs w:val="26"/>
        </w:rPr>
        <w:t xml:space="preserve">In addition, LUC provides information technology and some human resource services to </w:t>
      </w:r>
      <w:proofErr w:type="spellStart"/>
      <w:r w:rsidRPr="007507C4">
        <w:rPr>
          <w:sz w:val="26"/>
          <w:szCs w:val="26"/>
        </w:rPr>
        <w:t>APCo</w:t>
      </w:r>
      <w:proofErr w:type="spellEnd"/>
      <w:r w:rsidRPr="007507C4">
        <w:rPr>
          <w:sz w:val="26"/>
          <w:szCs w:val="26"/>
        </w:rPr>
        <w:t xml:space="preserve"> and APUC.  These costs are directly charged to </w:t>
      </w:r>
      <w:proofErr w:type="spellStart"/>
      <w:r w:rsidRPr="007507C4">
        <w:rPr>
          <w:sz w:val="26"/>
          <w:szCs w:val="26"/>
        </w:rPr>
        <w:t>APCo</w:t>
      </w:r>
      <w:proofErr w:type="spellEnd"/>
      <w:r w:rsidRPr="007507C4">
        <w:rPr>
          <w:sz w:val="26"/>
          <w:szCs w:val="26"/>
        </w:rPr>
        <w:t xml:space="preserve"> and APUC.</w:t>
      </w:r>
    </w:p>
    <w:p w:rsidR="00650B8B" w:rsidRDefault="00650B8B" w:rsidP="00650B8B">
      <w:pPr>
        <w:ind w:firstLine="357"/>
        <w:rPr>
          <w:b/>
          <w:sz w:val="26"/>
          <w:szCs w:val="26"/>
        </w:rPr>
      </w:pPr>
    </w:p>
    <w:p w:rsidR="00877036" w:rsidRPr="007507C4" w:rsidRDefault="00877036" w:rsidP="00877036">
      <w:pPr>
        <w:pStyle w:val="Heading1"/>
        <w:numPr>
          <w:ilvl w:val="0"/>
          <w:numId w:val="7"/>
        </w:numPr>
        <w:spacing w:before="0" w:after="240"/>
        <w:ind w:left="1077"/>
        <w:rPr>
          <w:color w:val="auto"/>
          <w:lang w:val="en-CA"/>
        </w:rPr>
      </w:pPr>
      <w:bookmarkStart w:id="6" w:name="_Toc310250958"/>
      <w:r w:rsidRPr="007507C4">
        <w:rPr>
          <w:caps/>
          <w:color w:val="auto"/>
        </w:rPr>
        <w:t>SERVICE</w:t>
      </w:r>
      <w:r w:rsidRPr="007507C4">
        <w:rPr>
          <w:color w:val="auto"/>
          <w:lang w:val="en-CA"/>
        </w:rPr>
        <w:t xml:space="preserve"> COMPANY </w:t>
      </w:r>
      <w:r w:rsidR="00A65D25" w:rsidRPr="007507C4">
        <w:rPr>
          <w:color w:val="auto"/>
          <w:lang w:val="en-CA"/>
        </w:rPr>
        <w:t xml:space="preserve">SERVICES AND COST </w:t>
      </w:r>
      <w:r w:rsidRPr="007507C4">
        <w:rPr>
          <w:color w:val="auto"/>
          <w:lang w:val="en-CA"/>
        </w:rPr>
        <w:t>ALLOCATION</w:t>
      </w:r>
      <w:bookmarkEnd w:id="6"/>
    </w:p>
    <w:p w:rsidR="0026272E" w:rsidRPr="007507C4" w:rsidRDefault="00A65D25" w:rsidP="0026272E">
      <w:pPr>
        <w:ind w:firstLine="720"/>
        <w:jc w:val="both"/>
        <w:rPr>
          <w:sz w:val="26"/>
          <w:szCs w:val="26"/>
        </w:rPr>
      </w:pPr>
      <w:r w:rsidRPr="007507C4">
        <w:rPr>
          <w:sz w:val="26"/>
          <w:szCs w:val="26"/>
        </w:rPr>
        <w:t>Some of LUC’s regulated utilities may receive services such as</w:t>
      </w:r>
      <w:r w:rsidR="00650B8B" w:rsidRPr="007507C4">
        <w:rPr>
          <w:sz w:val="26"/>
          <w:szCs w:val="26"/>
        </w:rPr>
        <w:t>:</w:t>
      </w:r>
      <w:r w:rsidR="0002448D" w:rsidRPr="007507C4">
        <w:rPr>
          <w:sz w:val="26"/>
          <w:szCs w:val="26"/>
        </w:rPr>
        <w:t xml:space="preserve"> </w:t>
      </w:r>
      <w:r w:rsidR="000B6FB4" w:rsidRPr="007507C4">
        <w:rPr>
          <w:sz w:val="26"/>
          <w:szCs w:val="26"/>
        </w:rPr>
        <w:t>b</w:t>
      </w:r>
      <w:r w:rsidR="0026272E" w:rsidRPr="007507C4">
        <w:rPr>
          <w:sz w:val="26"/>
          <w:szCs w:val="26"/>
        </w:rPr>
        <w:t xml:space="preserve">illing and </w:t>
      </w:r>
      <w:r w:rsidR="000B6FB4" w:rsidRPr="007507C4">
        <w:rPr>
          <w:sz w:val="26"/>
          <w:szCs w:val="26"/>
        </w:rPr>
        <w:t>c</w:t>
      </w:r>
      <w:r w:rsidR="0026272E" w:rsidRPr="007507C4">
        <w:rPr>
          <w:sz w:val="26"/>
          <w:szCs w:val="26"/>
        </w:rPr>
        <w:t xml:space="preserve">ustomer </w:t>
      </w:r>
      <w:r w:rsidR="000B6FB4" w:rsidRPr="007507C4">
        <w:rPr>
          <w:sz w:val="26"/>
          <w:szCs w:val="26"/>
        </w:rPr>
        <w:t>s</w:t>
      </w:r>
      <w:r w:rsidR="0026272E" w:rsidRPr="007507C4">
        <w:rPr>
          <w:sz w:val="26"/>
          <w:szCs w:val="26"/>
        </w:rPr>
        <w:t>ervice</w:t>
      </w:r>
      <w:r w:rsidR="00650B8B" w:rsidRPr="007507C4">
        <w:rPr>
          <w:sz w:val="26"/>
          <w:szCs w:val="26"/>
        </w:rPr>
        <w:t>;</w:t>
      </w:r>
      <w:r w:rsidR="000B6FB4" w:rsidRPr="007507C4">
        <w:rPr>
          <w:sz w:val="26"/>
          <w:szCs w:val="26"/>
        </w:rPr>
        <w:t xml:space="preserve"> operations and engin</w:t>
      </w:r>
      <w:r w:rsidRPr="007507C4">
        <w:rPr>
          <w:sz w:val="26"/>
          <w:szCs w:val="26"/>
        </w:rPr>
        <w:t>eering</w:t>
      </w:r>
      <w:r w:rsidR="00650B8B" w:rsidRPr="007507C4">
        <w:rPr>
          <w:sz w:val="26"/>
          <w:szCs w:val="26"/>
        </w:rPr>
        <w:t>;</w:t>
      </w:r>
      <w:r w:rsidRPr="007507C4">
        <w:rPr>
          <w:sz w:val="26"/>
          <w:szCs w:val="26"/>
        </w:rPr>
        <w:t xml:space="preserve"> </w:t>
      </w:r>
      <w:r w:rsidR="00650B8B" w:rsidRPr="007507C4">
        <w:rPr>
          <w:sz w:val="26"/>
          <w:szCs w:val="26"/>
        </w:rPr>
        <w:t xml:space="preserve">environment, health and safety, and security; </w:t>
      </w:r>
      <w:r w:rsidR="0002448D" w:rsidRPr="007507C4">
        <w:rPr>
          <w:sz w:val="26"/>
          <w:szCs w:val="26"/>
        </w:rPr>
        <w:t>finance</w:t>
      </w:r>
      <w:r w:rsidR="00650B8B" w:rsidRPr="007507C4">
        <w:rPr>
          <w:sz w:val="26"/>
          <w:szCs w:val="26"/>
        </w:rPr>
        <w:t>;</w:t>
      </w:r>
      <w:r w:rsidR="0002448D" w:rsidRPr="007507C4">
        <w:rPr>
          <w:sz w:val="26"/>
          <w:szCs w:val="26"/>
        </w:rPr>
        <w:t xml:space="preserve"> information technology</w:t>
      </w:r>
      <w:r w:rsidR="00650B8B" w:rsidRPr="007507C4">
        <w:rPr>
          <w:sz w:val="26"/>
          <w:szCs w:val="26"/>
        </w:rPr>
        <w:t>;</w:t>
      </w:r>
      <w:r w:rsidR="0002448D" w:rsidRPr="007507C4">
        <w:rPr>
          <w:sz w:val="26"/>
          <w:szCs w:val="26"/>
        </w:rPr>
        <w:t xml:space="preserve"> regulatory</w:t>
      </w:r>
      <w:r w:rsidR="00650B8B" w:rsidRPr="007507C4">
        <w:rPr>
          <w:sz w:val="26"/>
          <w:szCs w:val="26"/>
        </w:rPr>
        <w:t>;</w:t>
      </w:r>
      <w:r w:rsidR="0002448D" w:rsidRPr="007507C4">
        <w:rPr>
          <w:sz w:val="26"/>
          <w:szCs w:val="26"/>
        </w:rPr>
        <w:t xml:space="preserve"> legal</w:t>
      </w:r>
      <w:r w:rsidR="00650B8B" w:rsidRPr="007507C4">
        <w:rPr>
          <w:sz w:val="26"/>
          <w:szCs w:val="26"/>
        </w:rPr>
        <w:t>;</w:t>
      </w:r>
      <w:r w:rsidR="0002448D" w:rsidRPr="007507C4">
        <w:rPr>
          <w:sz w:val="26"/>
          <w:szCs w:val="26"/>
        </w:rPr>
        <w:t xml:space="preserve"> </w:t>
      </w:r>
      <w:r w:rsidRPr="007507C4">
        <w:rPr>
          <w:sz w:val="26"/>
          <w:szCs w:val="26"/>
        </w:rPr>
        <w:t>and administrative services</w:t>
      </w:r>
      <w:r w:rsidR="004B3AB2" w:rsidRPr="007507C4">
        <w:rPr>
          <w:sz w:val="26"/>
          <w:szCs w:val="26"/>
        </w:rPr>
        <w:t xml:space="preserve">, </w:t>
      </w:r>
      <w:r w:rsidR="004B3AB2" w:rsidRPr="007507C4">
        <w:rPr>
          <w:i/>
          <w:sz w:val="26"/>
          <w:szCs w:val="26"/>
        </w:rPr>
        <w:t>e.g.</w:t>
      </w:r>
      <w:r w:rsidR="004B3AB2" w:rsidRPr="007507C4">
        <w:rPr>
          <w:sz w:val="26"/>
          <w:szCs w:val="26"/>
        </w:rPr>
        <w:t>, rent, insurance, and office services,</w:t>
      </w:r>
      <w:r w:rsidRPr="007507C4">
        <w:rPr>
          <w:sz w:val="26"/>
          <w:szCs w:val="26"/>
        </w:rPr>
        <w:t xml:space="preserve"> from</w:t>
      </w:r>
      <w:r w:rsidR="0026272E" w:rsidRPr="007507C4">
        <w:rPr>
          <w:sz w:val="26"/>
          <w:szCs w:val="26"/>
        </w:rPr>
        <w:t xml:space="preserve"> </w:t>
      </w:r>
      <w:r w:rsidR="000B6FB4" w:rsidRPr="007507C4">
        <w:rPr>
          <w:sz w:val="26"/>
          <w:szCs w:val="26"/>
        </w:rPr>
        <w:t xml:space="preserve">a </w:t>
      </w:r>
      <w:r w:rsidR="007507C4">
        <w:rPr>
          <w:sz w:val="26"/>
          <w:szCs w:val="26"/>
        </w:rPr>
        <w:t>S</w:t>
      </w:r>
      <w:r w:rsidR="000B6FB4" w:rsidRPr="007507C4">
        <w:rPr>
          <w:sz w:val="26"/>
          <w:szCs w:val="26"/>
        </w:rPr>
        <w:t xml:space="preserve">ervice </w:t>
      </w:r>
      <w:r w:rsidR="007507C4">
        <w:rPr>
          <w:sz w:val="26"/>
          <w:szCs w:val="26"/>
        </w:rPr>
        <w:t>C</w:t>
      </w:r>
      <w:r w:rsidR="000B6FB4" w:rsidRPr="007507C4">
        <w:rPr>
          <w:sz w:val="26"/>
          <w:szCs w:val="26"/>
        </w:rPr>
        <w:t>ompany</w:t>
      </w:r>
      <w:r w:rsidR="0026272E" w:rsidRPr="007507C4">
        <w:rPr>
          <w:sz w:val="26"/>
          <w:szCs w:val="26"/>
        </w:rPr>
        <w:t xml:space="preserve">. </w:t>
      </w:r>
      <w:r w:rsidRPr="007507C4">
        <w:rPr>
          <w:sz w:val="26"/>
          <w:szCs w:val="26"/>
        </w:rPr>
        <w:t xml:space="preserve"> </w:t>
      </w:r>
    </w:p>
    <w:p w:rsidR="00C6522B" w:rsidRDefault="00C6522B" w:rsidP="00C6522B">
      <w:pPr>
        <w:jc w:val="both"/>
        <w:rPr>
          <w:sz w:val="26"/>
          <w:szCs w:val="26"/>
        </w:rPr>
      </w:pPr>
    </w:p>
    <w:p w:rsidR="004B3AB2" w:rsidRDefault="00A65D25" w:rsidP="00C6522B">
      <w:pPr>
        <w:jc w:val="both"/>
        <w:rPr>
          <w:sz w:val="26"/>
          <w:szCs w:val="26"/>
        </w:rPr>
      </w:pPr>
      <w:r>
        <w:rPr>
          <w:sz w:val="26"/>
          <w:szCs w:val="26"/>
        </w:rPr>
        <w:tab/>
        <w:t>Unless a charge can be directly attributable to a specific utility, billing and customer service costs are allocated on customer count.</w:t>
      </w:r>
      <w:r w:rsidR="00CF3BC5">
        <w:rPr>
          <w:sz w:val="26"/>
          <w:szCs w:val="26"/>
        </w:rPr>
        <w:t xml:space="preserve">  For an example of how this allocation works please see Appendix </w:t>
      </w:r>
      <w:r w:rsidR="00AE726F">
        <w:rPr>
          <w:sz w:val="26"/>
          <w:szCs w:val="26"/>
        </w:rPr>
        <w:t>4</w:t>
      </w:r>
      <w:r w:rsidR="00CF3BC5">
        <w:rPr>
          <w:sz w:val="26"/>
          <w:szCs w:val="26"/>
        </w:rPr>
        <w:t>.</w:t>
      </w:r>
      <w:r>
        <w:rPr>
          <w:sz w:val="26"/>
          <w:szCs w:val="26"/>
        </w:rPr>
        <w:t xml:space="preserve">  Operations and engineering costs are directly </w:t>
      </w:r>
      <w:r w:rsidR="004B3AB2">
        <w:rPr>
          <w:sz w:val="26"/>
          <w:szCs w:val="26"/>
        </w:rPr>
        <w:t>charged</w:t>
      </w:r>
      <w:r>
        <w:rPr>
          <w:sz w:val="26"/>
          <w:szCs w:val="26"/>
        </w:rPr>
        <w:t xml:space="preserve"> based on timesheets to the relevant regulated utility.  </w:t>
      </w:r>
      <w:r w:rsidR="004B3AB2">
        <w:rPr>
          <w:sz w:val="26"/>
          <w:szCs w:val="26"/>
        </w:rPr>
        <w:t xml:space="preserve">Unless a charge can be directly attributable to a specific utility, both labor and non-labor </w:t>
      </w:r>
      <w:r w:rsidR="00650B8B">
        <w:rPr>
          <w:sz w:val="26"/>
          <w:szCs w:val="26"/>
        </w:rPr>
        <w:t>(</w:t>
      </w:r>
      <w:r w:rsidR="004B3AB2">
        <w:rPr>
          <w:sz w:val="26"/>
          <w:szCs w:val="26"/>
        </w:rPr>
        <w:t>including capital</w:t>
      </w:r>
      <w:r w:rsidR="00650B8B">
        <w:rPr>
          <w:sz w:val="26"/>
          <w:szCs w:val="26"/>
        </w:rPr>
        <w:t>)</w:t>
      </w:r>
      <w:r w:rsidR="004B3AB2">
        <w:rPr>
          <w:sz w:val="26"/>
          <w:szCs w:val="26"/>
        </w:rPr>
        <w:t xml:space="preserve"> </w:t>
      </w:r>
      <w:r w:rsidR="00AE726F">
        <w:rPr>
          <w:sz w:val="26"/>
          <w:szCs w:val="26"/>
        </w:rPr>
        <w:t xml:space="preserve">environment, health and safety, and security, finance, information technology, regulatory, legal, and </w:t>
      </w:r>
      <w:r w:rsidR="004B3AB2">
        <w:rPr>
          <w:sz w:val="26"/>
          <w:szCs w:val="26"/>
        </w:rPr>
        <w:t>a</w:t>
      </w:r>
      <w:r>
        <w:rPr>
          <w:sz w:val="26"/>
          <w:szCs w:val="26"/>
        </w:rPr>
        <w:t>dministrative costs</w:t>
      </w:r>
      <w:r w:rsidR="004B3AB2">
        <w:rPr>
          <w:sz w:val="26"/>
          <w:szCs w:val="26"/>
        </w:rPr>
        <w:t xml:space="preserve"> are allocated using the Utility Four Factor Methodology.  </w:t>
      </w:r>
    </w:p>
    <w:p w:rsidR="00A502A6" w:rsidRDefault="00A502A6" w:rsidP="00C6522B">
      <w:pPr>
        <w:jc w:val="both"/>
        <w:rPr>
          <w:sz w:val="26"/>
          <w:szCs w:val="26"/>
        </w:rPr>
      </w:pPr>
    </w:p>
    <w:p w:rsidR="002F5743" w:rsidRDefault="00A502A6" w:rsidP="00F23FF9">
      <w:pPr>
        <w:pStyle w:val="Heading1"/>
        <w:numPr>
          <w:ilvl w:val="0"/>
          <w:numId w:val="7"/>
        </w:numPr>
        <w:spacing w:before="0" w:after="240"/>
        <w:ind w:left="1077"/>
        <w:rPr>
          <w:caps/>
          <w:color w:val="auto"/>
          <w:u w:val="single"/>
          <w:lang w:val="en-CA"/>
        </w:rPr>
      </w:pPr>
      <w:bookmarkStart w:id="7" w:name="_Toc310250959"/>
      <w:r w:rsidRPr="007507C4">
        <w:rPr>
          <w:caps/>
        </w:rPr>
        <w:t>Allocation</w:t>
      </w:r>
      <w:r>
        <w:rPr>
          <w:caps/>
        </w:rPr>
        <w:t xml:space="preserve"> </w:t>
      </w:r>
      <w:r w:rsidR="007507C4">
        <w:rPr>
          <w:caps/>
        </w:rPr>
        <w:t>OF</w:t>
      </w:r>
      <w:r w:rsidR="007507C4">
        <w:rPr>
          <w:caps/>
          <w:color w:val="auto"/>
        </w:rPr>
        <w:t xml:space="preserve"> </w:t>
      </w:r>
      <w:r>
        <w:rPr>
          <w:caps/>
          <w:color w:val="auto"/>
        </w:rPr>
        <w:t xml:space="preserve">Gas Procurement </w:t>
      </w:r>
      <w:r w:rsidRPr="007507C4">
        <w:rPr>
          <w:caps/>
          <w:color w:val="auto"/>
        </w:rPr>
        <w:t xml:space="preserve">Services provided by Liberty Energy Utilities (New Hampshire) Corp to the natural gas utiility subsidiaries of luc and how those </w:t>
      </w:r>
      <w:r w:rsidRPr="006B2593">
        <w:rPr>
          <w:caps/>
          <w:color w:val="auto"/>
        </w:rPr>
        <w:t xml:space="preserve">costs </w:t>
      </w:r>
      <w:r w:rsidRPr="007507C4">
        <w:rPr>
          <w:caps/>
          <w:color w:val="auto"/>
        </w:rPr>
        <w:t>are allocated</w:t>
      </w:r>
    </w:p>
    <w:bookmarkEnd w:id="7"/>
    <w:p w:rsidR="00CF3BC5" w:rsidRDefault="00CF3BC5" w:rsidP="00CF3BC5">
      <w:pPr>
        <w:ind w:left="360"/>
        <w:rPr>
          <w:b/>
          <w:sz w:val="26"/>
          <w:szCs w:val="26"/>
        </w:rPr>
      </w:pPr>
    </w:p>
    <w:p w:rsidR="00CF3BC5" w:rsidRPr="00CF3BC5" w:rsidRDefault="00CF3BC5" w:rsidP="00CF3BC5">
      <w:pPr>
        <w:ind w:firstLine="567"/>
        <w:rPr>
          <w:sz w:val="26"/>
          <w:szCs w:val="26"/>
        </w:rPr>
      </w:pPr>
      <w:r>
        <w:rPr>
          <w:sz w:val="26"/>
          <w:szCs w:val="26"/>
        </w:rPr>
        <w:t>LUC’s natural gas utilities receive gas procurement services from a shared group that is housed out of New Hampshire.  The group’s non-labor costs are directly charged to specific assets.  The gas procurement employees directly charge their time to specific assets as well.  Any shared services that are provided, such as development of an overall hedging strategy, are allocated based on natural gas volumes.</w:t>
      </w:r>
    </w:p>
    <w:p w:rsidR="00CF3BC5" w:rsidRDefault="00CF3BC5">
      <w:pPr>
        <w:rPr>
          <w:rFonts w:eastAsiaTheme="majorEastAsia"/>
          <w:b/>
          <w:bCs/>
          <w:iCs/>
          <w:spacing w:val="15"/>
          <w:sz w:val="28"/>
          <w:szCs w:val="28"/>
        </w:rPr>
      </w:pPr>
      <w:r>
        <w:rPr>
          <w:i/>
          <w:sz w:val="28"/>
          <w:szCs w:val="28"/>
        </w:rPr>
        <w:br w:type="page"/>
      </w:r>
    </w:p>
    <w:p w:rsidR="00F949F8" w:rsidRPr="002E7EBD" w:rsidRDefault="00F949F8" w:rsidP="00A502A6">
      <w:pPr>
        <w:pStyle w:val="Heading1"/>
        <w:numPr>
          <w:ilvl w:val="0"/>
          <w:numId w:val="24"/>
        </w:numPr>
        <w:rPr>
          <w:color w:val="auto"/>
        </w:rPr>
      </w:pPr>
      <w:bookmarkStart w:id="8" w:name="_Toc310250960"/>
      <w:r w:rsidRPr="002E7EBD">
        <w:rPr>
          <w:color w:val="auto"/>
        </w:rPr>
        <w:t>Appendix</w:t>
      </w:r>
      <w:bookmarkEnd w:id="8"/>
    </w:p>
    <w:p w:rsidR="00722C7F" w:rsidRPr="00BD177B" w:rsidRDefault="00722C7F" w:rsidP="00F949F8">
      <w:pPr>
        <w:pStyle w:val="Subtitle"/>
      </w:pPr>
      <w:bookmarkStart w:id="9" w:name="_Toc310250961"/>
      <w:r w:rsidRPr="00BD177B">
        <w:t>Appendix 1: NARUC Guidelines for Cost Allocations</w:t>
      </w:r>
      <w:bookmarkEnd w:id="9"/>
    </w:p>
    <w:p w:rsidR="00722C7F" w:rsidRPr="00BD177B" w:rsidRDefault="00722C7F" w:rsidP="00722C7F">
      <w:pPr>
        <w:spacing w:before="100" w:beforeAutospacing="1" w:after="100" w:afterAutospacing="1"/>
        <w:rPr>
          <w:sz w:val="26"/>
          <w:szCs w:val="26"/>
        </w:rPr>
      </w:pPr>
      <w:r w:rsidRPr="00BD177B">
        <w:rPr>
          <w:b/>
          <w:bCs/>
          <w:color w:val="000000"/>
          <w:sz w:val="26"/>
          <w:szCs w:val="26"/>
        </w:rPr>
        <w:t>Guidelines for Cost Allocations and Affiliate Transactions:</w:t>
      </w:r>
    </w:p>
    <w:p w:rsidR="00722C7F" w:rsidRPr="00BD177B" w:rsidRDefault="00722C7F" w:rsidP="00722C7F">
      <w:pPr>
        <w:spacing w:before="100" w:beforeAutospacing="1" w:after="100" w:afterAutospacing="1"/>
        <w:rPr>
          <w:sz w:val="26"/>
          <w:szCs w:val="26"/>
        </w:rPr>
      </w:pPr>
      <w:r w:rsidRPr="00BD177B">
        <w:rPr>
          <w:color w:val="000000"/>
          <w:sz w:val="26"/>
          <w:szCs w:val="26"/>
        </w:rPr>
        <w:t>The following Guidelines for Cost Allocations and Affiliate Transactions (Guidelines) are intended to provide guidance to jurisdictional regulatory authorities and regulated utilities and their affiliates in the development of procedures and recording of transactions for services and products between a regulated entity and affiliates. The prevailing premise of these Guidelines is that allocation methods should not result in subsidization of non-regulated services or products by regulated entities unless authorized by the jurisdictional regulatory authority. These Guidelines are not intended to be rules or regulations prescribing how cost allocations and affiliate transactions are to be handled. They are intended to provide a framework for regulated entities and regulatory authorities in the development of their own policies and procedures for cost allocations and affiliated transactions. Variation in regulatory environment may justify different cost allocation methods than those embodied in the Guidelines.</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The Guidelines acknowledge and reference the use of several different practices and methods. It is intended that there be latitude in the application of these guidelines, subject to regulatory oversight. The implementation and compliance with these cost allocations and affiliate transaction guidelines, by regulated utilities under the authority of jurisdictional regulatory commissions, is subject to Federal and state law. Each state or Federal regulatory commission may have unique situations and circumstances that govern affiliate transactions, cost allocations, and/or service or product pricing standards. For example, The Public Utility Holding Company Act of 1935 requires registered holding company systems to price "at cost" the sale of goods and services and the undertaking of construction contracts between affiliate companies.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The Guidelines were developed by the NARUC Staff Subcommittee on Accounts in compliance with the Resolution passed on March 3, 1998 entitled "Resolution Regarding Cost Allocation for the Energy Industry" which directed the Staff Subcommittee on Accounts together with the Staff Subcommittees on Strategic Issues and Gas to prepare for NARUC's consideration, "Guidelines for Energy Cost Allocations." In addition, input was requested from other industry parties. Various levels of input were obtained in the development of the Guidelines from the Edison Electric Institute, American Gas Association, Securities and Exchange Commission, </w:t>
      </w:r>
      <w:proofErr w:type="gramStart"/>
      <w:r w:rsidRPr="00BD177B">
        <w:rPr>
          <w:color w:val="000000"/>
          <w:sz w:val="26"/>
          <w:szCs w:val="26"/>
        </w:rPr>
        <w:t>the</w:t>
      </w:r>
      <w:proofErr w:type="gramEnd"/>
      <w:r w:rsidRPr="00BD177B">
        <w:rPr>
          <w:color w:val="000000"/>
          <w:sz w:val="26"/>
          <w:szCs w:val="26"/>
        </w:rPr>
        <w:t xml:space="preserve"> Federal Energy Regulatory Commission, Rural Utilities Service and the National Rural Electric Cooperatives Association as well as staff of various state public utility commissions.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In some instances, non-structural safeguards as contained in these guidelines may not be sufficient to prevent market power problems in strategic markets such as the generation market. Problems arise when a firm has the ability to raise prices above market for a sustained period and/or impede output of a product or service. Such concerns have led some states to develop codes of conduct to govern relationships between the regulated utility and its non-regulated affiliates. Consideration should be given to any "unique" advantages an incumbent utility would have over competitors in an emerging market such as the retail energy market. A code of conduct should be used in conjunction with guidelines on cost allocations and affiliate transactions.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A. DEFINITIONS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 Affiliates - companies that are related to each other due to common ownership or control.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2. Attestation Engagement - one in which a certified public accountant who is in the practice of public accounting is contracted to issue a written communication that expresses a conclusion about the reliability of a written assertion that is the responsibility of another party.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3. Cost Allocation Manual (CAM) - an indexed compilation and documentation of a company's cost allocation policies and related procedures.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4. Cost Allocations - the methods or ratios used to apportion costs. A cost allocator can be based on the origin of costs, as in the case of cost drivers; cost-causative linkage of an indirect nature; or one or more overall factors (also known as general allocators).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5. Common Costs - costs associated with services or products that are of joint benefit between regulated and non-regulated business units.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6. Cost Driver - a measurable event or quantity which influences the level of costs incurred and which can be directly traced to the origin of the costs themselves.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7. Direct Costs - costs which can be specifically identified with a particular service or product.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8. Fully Allocated costs - the sum of the direct costs plus an appropriate share of indirect costs.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9. Incremental pricing - pricing services or products on a basis of only the additional costs added by their operations while one or more pre-existing services or products support the fixed costs.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10. Indirect Costs - costs that cannot be identified with a particular service or product. This includes but not limited to overhead costs, administrative and general, and taxes.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11. Non-regulated - that which is not subject to regulation by regulatory authorities.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12. Prevailing Market Pricing - a generally accepted market value that can be substantiated by clearly comparable transactions, auction or appraisal.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13. Regulated - that which is subject to regulation by regulatory authorities.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14. Subsidization - the recovery of costs from one class of customers or business unit that are attributable to another.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B. COST ALLOCATION PRINCIPLES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The following allocation principles should be used whenever products or services are provided between a regulated utility and its non-regulated affiliate or division.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 To the maximum extent practicable, in consideration of administrative costs, costs should be collected and classified on a direct basis for each asset, service or product provided. </w:t>
      </w:r>
    </w:p>
    <w:p w:rsidR="00722C7F" w:rsidRPr="00BD177B" w:rsidRDefault="00722C7F" w:rsidP="00722C7F">
      <w:pPr>
        <w:spacing w:before="100" w:beforeAutospacing="1" w:after="100" w:afterAutospacing="1"/>
        <w:rPr>
          <w:sz w:val="26"/>
          <w:szCs w:val="26"/>
        </w:rPr>
      </w:pPr>
      <w:r w:rsidRPr="00BD177B">
        <w:rPr>
          <w:color w:val="000000"/>
          <w:sz w:val="26"/>
          <w:szCs w:val="26"/>
        </w:rPr>
        <w:t>2. The general method for charging indirect costs should be on a fully allocated cost basis. Under appropriate circumstances, regulatory authorities may consider incremental cost, prevailing</w:t>
      </w:r>
      <w:r w:rsidRPr="00BD177B">
        <w:rPr>
          <w:sz w:val="26"/>
          <w:szCs w:val="26"/>
        </w:rPr>
        <w:t xml:space="preserve"> </w:t>
      </w:r>
      <w:r w:rsidRPr="00BD177B">
        <w:rPr>
          <w:color w:val="000000"/>
          <w:sz w:val="26"/>
          <w:szCs w:val="26"/>
        </w:rPr>
        <w:t xml:space="preserve">market pricing or other methods for allocating costs and pricing transactions among affiliates.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3. To the extent possible, all direct and allocated costs between regulated and non-regulated services and products should be traceable on the books of the applicable regulated utility to the applicable Uniform System of Accounts. Documentation should be made available to the appropriate regulatory authority upon request regarding transactions between the regulated utility and its affiliates.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4. The allocation methods should apply to the regulated entity's affiliates in order to prevent </w:t>
      </w:r>
    </w:p>
    <w:p w:rsidR="00722C7F" w:rsidRPr="00BD177B" w:rsidRDefault="00722C7F" w:rsidP="00722C7F">
      <w:pPr>
        <w:spacing w:before="100" w:beforeAutospacing="1" w:after="100" w:afterAutospacing="1"/>
        <w:rPr>
          <w:sz w:val="26"/>
          <w:szCs w:val="26"/>
        </w:rPr>
      </w:pPr>
      <w:proofErr w:type="gramStart"/>
      <w:r w:rsidRPr="00BD177B">
        <w:rPr>
          <w:color w:val="000000"/>
          <w:sz w:val="26"/>
          <w:szCs w:val="26"/>
        </w:rPr>
        <w:t>subsidization</w:t>
      </w:r>
      <w:proofErr w:type="gramEnd"/>
      <w:r w:rsidRPr="00BD177B">
        <w:rPr>
          <w:color w:val="000000"/>
          <w:sz w:val="26"/>
          <w:szCs w:val="26"/>
        </w:rPr>
        <w:t xml:space="preserve"> from, and ensure equitable cost sharing among the regulated entity and its affiliates, and vice versa.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5. All costs should be classified to services or products which, by their very nature, are either regulated, non-regulated, or common to both.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6. The primary cost driver of common costs, or a relevant proxy in the absence of a primary cost driver, should be identified and used to allocate the cost between regulated and non-regulated services or products.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7. The indirect costs of each business unit, including the allocated costs of shared services, should be spread to the services or products to which they relate using relevant cost allocators.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C. COST ALLOCATION MANUAL (NOT TARIFFED)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Each entity that provides </w:t>
      </w:r>
      <w:proofErr w:type="gramStart"/>
      <w:r w:rsidRPr="00BD177B">
        <w:rPr>
          <w:color w:val="000000"/>
          <w:sz w:val="26"/>
          <w:szCs w:val="26"/>
        </w:rPr>
        <w:t>both regulated and non-regulated services or</w:t>
      </w:r>
      <w:proofErr w:type="gramEnd"/>
      <w:r w:rsidRPr="00BD177B">
        <w:rPr>
          <w:color w:val="000000"/>
          <w:sz w:val="26"/>
          <w:szCs w:val="26"/>
        </w:rPr>
        <w:t xml:space="preserve"> products should maintain a cost allocation manual (CAM) or its equivalent and notify the jurisdictional regulatory authorities of the CAM's existence. The determination of what, if any, information should be held confidential should be based on the statutes and rules of the regulatory agency that requires the information. Any entity required to provide notification of a CAM(s) should make arrangements as necessary and appropriate to ensure competitively sensitive information derived therefrom be kept confidential by the regulator. At a minimum, the CAM should contain the following: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 An organization chart of the holding company, depicting all affiliates, and regulated entities.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2. A description of all assets, services and products provided to and from the regulated entity and each of its affiliates. </w:t>
      </w:r>
    </w:p>
    <w:p w:rsidR="00722C7F" w:rsidRPr="00BD177B" w:rsidRDefault="00722C7F" w:rsidP="00722C7F">
      <w:pPr>
        <w:spacing w:before="100" w:beforeAutospacing="1" w:after="100" w:afterAutospacing="1"/>
        <w:rPr>
          <w:sz w:val="26"/>
          <w:szCs w:val="26"/>
        </w:rPr>
      </w:pPr>
      <w:r w:rsidRPr="00BD177B">
        <w:rPr>
          <w:color w:val="000000"/>
          <w:sz w:val="26"/>
          <w:szCs w:val="26"/>
        </w:rPr>
        <w:t>3. A description of all assets, services and products provided by the regulated entity to non-affiliates.</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4. A description of the cost allocators and methods used by the regulated entity and the cost allocators and methods used by its affiliates related to the regulated services and products provided to the regulated entity.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D. AFFILIATE TRANSACTIONS (NOT TARIFFED)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The affiliate transactions pricing guidelines are based on two assumptions. First, affiliate transactions raise the concern of self-dealing where market forces do not necessarily drive prices. Second, utilities have a natural business incentive to shift costs from non-regulated competitive operations to regulated monopoly operations since recovery is more certain with captive ratepayers. Too much flexibility will lead to subsidization. However, if the affiliate transaction pricing guidelines are too rigid, economic transactions may be discouraged.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The objective of the affiliate transactions' guidelines is to lessen the possibility of subsidization in order to protect monopoly ratepayers and to help establish and preserve competition in the electric generation and the electric and gas supply markets. It provides ample flexibility to accommodate exceptions where the outcome is in the best interest of the utility, its ratepayers and competition. As with any transactions, the burden of proof for any exception from </w:t>
      </w:r>
    </w:p>
    <w:p w:rsidR="00722C7F" w:rsidRPr="00BD177B" w:rsidRDefault="00722C7F" w:rsidP="00722C7F">
      <w:pPr>
        <w:spacing w:before="100" w:beforeAutospacing="1" w:after="100" w:afterAutospacing="1"/>
        <w:rPr>
          <w:sz w:val="26"/>
          <w:szCs w:val="26"/>
        </w:rPr>
      </w:pPr>
      <w:proofErr w:type="gramStart"/>
      <w:r w:rsidRPr="00BD177B">
        <w:rPr>
          <w:color w:val="000000"/>
          <w:sz w:val="26"/>
          <w:szCs w:val="26"/>
        </w:rPr>
        <w:t>the</w:t>
      </w:r>
      <w:proofErr w:type="gramEnd"/>
      <w:r w:rsidRPr="00BD177B">
        <w:rPr>
          <w:color w:val="000000"/>
          <w:sz w:val="26"/>
          <w:szCs w:val="26"/>
        </w:rPr>
        <w:t xml:space="preserve"> general rule rests with the proponent of the exception.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 Generally, the price for services, products and the use of assets provided by a regulated entity to its non-regulated affiliates should be at the higher of fully allocated costs or prevailing market prices. Under appropriate circumstances, prices could be based on incremental cost, or other pricing mechanisms as determined by the regulator.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2. Generally, the price for services, products and the use of assets provided by a non-regulated affiliate to a regulated affiliate should be at the lower of fully allocated cost or prevailing market prices. Under appropriate circumstances, prices could be based on incremental cost, or other pricing mechanisms as determined by the regulator.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3. Generally, transfer of a capital asset from the utility to its non-regulated affiliate should be at the greater of prevailing market price or net book value, except as otherwise required by law or regulation. Generally, transfer of assets from an affiliate to the utility should be at the lower of prevailing market price or net book value, except as otherwise required by law or regulation. To determine prevailing market value, an appraisal should be required at certain value thresholds as determined by regulators.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4. Entities should maintain all information underlying affiliate transactions with the affiliated utility for a minimum of three years, or as required by law or regulation.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E. AUDIT REQUIREMENTS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 An audit trail should exist with respect to all transactions between the regulated entity and its affiliates that relate to regulated services and products. The regulator should have complete access to all affiliate records necessary to ensure that cost allocations and affiliate transactions are conducted in accordance with the guidelines. Regulators should have complete access to affiliate records, consistent with state statutes, to ensure that the regulator has access to all relevant information necessary to evaluate whether subsidization exists. The auditors, not the audited utilities, should determine what information is relevant for a particular audit objective. Limitations on access would compromise the audit process and impair audit independence.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2. Each regulated entity's cost allocation documentation should be made available to the company's internal auditors for periodic review of the allocation policy and process and to any jurisdictional regulatory authority when appropriate and upon request.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3. Any jurisdictional regulatory authority may request an independent attestation engagement of the CAM. The cost of any independent attestation engagement associated with the </w:t>
      </w:r>
      <w:proofErr w:type="gramStart"/>
      <w:r w:rsidRPr="00BD177B">
        <w:rPr>
          <w:color w:val="000000"/>
          <w:sz w:val="26"/>
          <w:szCs w:val="26"/>
        </w:rPr>
        <w:t>CAM,</w:t>
      </w:r>
      <w:proofErr w:type="gramEnd"/>
      <w:r w:rsidRPr="00BD177B">
        <w:rPr>
          <w:color w:val="000000"/>
          <w:sz w:val="26"/>
          <w:szCs w:val="26"/>
        </w:rPr>
        <w:t xml:space="preserve"> should be shared between regulated and non-regulated operations consistent with the allocation of similar common costs. </w:t>
      </w:r>
    </w:p>
    <w:p w:rsidR="00722C7F" w:rsidRPr="00BD177B" w:rsidRDefault="00722C7F" w:rsidP="00722C7F">
      <w:pPr>
        <w:spacing w:before="100" w:beforeAutospacing="1" w:after="100" w:afterAutospacing="1"/>
        <w:rPr>
          <w:sz w:val="26"/>
          <w:szCs w:val="26"/>
        </w:rPr>
      </w:pPr>
      <w:r w:rsidRPr="00BD177B">
        <w:rPr>
          <w:color w:val="000000"/>
          <w:sz w:val="26"/>
          <w:szCs w:val="26"/>
        </w:rPr>
        <w:t>4. Any audit of the CAM should not otherwise limit or restrict the authority of state regulatory authorities to have access to the books and records of and audit the operations of jurisdictional utilities.</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5. Any entity required </w:t>
      </w:r>
      <w:proofErr w:type="gramStart"/>
      <w:r w:rsidRPr="00BD177B">
        <w:rPr>
          <w:color w:val="000000"/>
          <w:sz w:val="26"/>
          <w:szCs w:val="26"/>
        </w:rPr>
        <w:t>to provide</w:t>
      </w:r>
      <w:proofErr w:type="gramEnd"/>
      <w:r w:rsidRPr="00BD177B">
        <w:rPr>
          <w:color w:val="000000"/>
          <w:sz w:val="26"/>
          <w:szCs w:val="26"/>
        </w:rPr>
        <w:t xml:space="preserve"> access to its books and records should make arrangements as necessary and appropriate to ensure that competitively sensitive information derived therefrom be kept confidential by the regulator.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F. REPORTING REQUIREMENTS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1. The regulated entity should report annually the dollar amount of non-tariffed transactions </w:t>
      </w:r>
    </w:p>
    <w:p w:rsidR="00722C7F" w:rsidRPr="00BD177B" w:rsidRDefault="00722C7F" w:rsidP="00722C7F">
      <w:pPr>
        <w:spacing w:before="100" w:beforeAutospacing="1" w:after="100" w:afterAutospacing="1"/>
        <w:rPr>
          <w:sz w:val="26"/>
          <w:szCs w:val="26"/>
        </w:rPr>
      </w:pPr>
      <w:proofErr w:type="gramStart"/>
      <w:r w:rsidRPr="00BD177B">
        <w:rPr>
          <w:color w:val="000000"/>
          <w:sz w:val="26"/>
          <w:szCs w:val="26"/>
        </w:rPr>
        <w:t>associated</w:t>
      </w:r>
      <w:proofErr w:type="gramEnd"/>
      <w:r w:rsidRPr="00BD177B">
        <w:rPr>
          <w:color w:val="000000"/>
          <w:sz w:val="26"/>
          <w:szCs w:val="26"/>
        </w:rPr>
        <w:t xml:space="preserve"> with the provision of each service or product and the use or sale of each asset for the following:</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a. Those provided to each non-regulated affiliate.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b. Those received from each non-regulated affiliate.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c. Those provided to non-affiliated entities. </w:t>
      </w:r>
    </w:p>
    <w:p w:rsidR="00722C7F" w:rsidRPr="00BD177B" w:rsidRDefault="00722C7F" w:rsidP="00722C7F">
      <w:pPr>
        <w:spacing w:before="100" w:beforeAutospacing="1" w:after="100" w:afterAutospacing="1"/>
        <w:rPr>
          <w:sz w:val="26"/>
          <w:szCs w:val="26"/>
        </w:rPr>
      </w:pPr>
      <w:r w:rsidRPr="00BD177B">
        <w:rPr>
          <w:color w:val="000000"/>
          <w:sz w:val="26"/>
          <w:szCs w:val="26"/>
        </w:rPr>
        <w:t xml:space="preserve">2. Any additional information needed to assure compliance with these Guidelines, such as cost of service data necessary to evaluate subsidization issues, should be provided. </w:t>
      </w:r>
    </w:p>
    <w:p w:rsidR="00A863A9" w:rsidRPr="00BD177B" w:rsidRDefault="00A863A9" w:rsidP="00A863A9">
      <w:pPr>
        <w:rPr>
          <w:color w:val="000000"/>
          <w:sz w:val="26"/>
          <w:szCs w:val="26"/>
        </w:rPr>
      </w:pPr>
      <w:r w:rsidRPr="00BD177B">
        <w:rPr>
          <w:color w:val="000000"/>
          <w:sz w:val="26"/>
          <w:szCs w:val="26"/>
        </w:rPr>
        <w:t xml:space="preserve">Source: </w:t>
      </w:r>
      <w:hyperlink r:id="rId26" w:history="1">
        <w:r w:rsidRPr="00BD177B">
          <w:rPr>
            <w:rStyle w:val="Hyperlink"/>
            <w:sz w:val="26"/>
            <w:szCs w:val="26"/>
          </w:rPr>
          <w:t>http://www.naruc.org/Publications/Guidelines%20for%20Cost%20Allocations%20and%20Affiliate%20Transactions.pdf</w:t>
        </w:r>
      </w:hyperlink>
    </w:p>
    <w:p w:rsidR="00A863A9" w:rsidRPr="00A863A9" w:rsidRDefault="00A863A9" w:rsidP="00A863A9"/>
    <w:p w:rsidR="009842E1" w:rsidRDefault="00AA331E">
      <w:r>
        <w:rPr>
          <w:noProof/>
        </w:rPr>
        <w:pict>
          <v:rect id="Rectangle 5" o:spid="_x0000_s1029" style="position:absolute;margin-left:185.25pt;margin-top:211.75pt;width:105.7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" fillcolor="white [3201]" stroked="f" strokeweight="2pt">
            <v:path arrowok="t"/>
          </v:rect>
        </w:pict>
      </w:r>
      <w:r w:rsidR="009842E1">
        <w:br w:type="page"/>
      </w:r>
    </w:p>
    <w:p w:rsidR="004C0C3F" w:rsidRPr="004C0C3F" w:rsidRDefault="004C0C3F" w:rsidP="00F949F8">
      <w:pPr>
        <w:pStyle w:val="Subtitle"/>
      </w:pPr>
      <w:bookmarkStart w:id="10" w:name="_Toc310250962"/>
      <w:r w:rsidRPr="004C0C3F">
        <w:t>Appendix 2 – Detailed Explanation of APUC Costs</w:t>
      </w:r>
      <w:bookmarkEnd w:id="10"/>
    </w:p>
    <w:p w:rsidR="004C0C3F" w:rsidRDefault="004C0C3F"/>
    <w:p w:rsidR="004C0C3F" w:rsidRPr="00373FBD" w:rsidRDefault="004C0C3F" w:rsidP="004C0C3F">
      <w:pPr>
        <w:pStyle w:val="Subtitle"/>
        <w:numPr>
          <w:ilvl w:val="0"/>
          <w:numId w:val="12"/>
        </w:numPr>
        <w:ind w:left="567" w:hanging="567"/>
        <w:rPr>
          <w:rFonts w:ascii="Times New Roman" w:hAnsi="Times New Roman" w:cs="Times New Roman"/>
          <w:b w:val="0"/>
          <w:smallCaps/>
          <w:color w:val="auto"/>
        </w:rPr>
      </w:pPr>
      <w:bookmarkStart w:id="11" w:name="_Toc310250963"/>
      <w:r w:rsidRPr="00373FBD">
        <w:rPr>
          <w:rFonts w:ascii="Times New Roman" w:hAnsi="Times New Roman" w:cs="Times New Roman"/>
          <w:b w:val="0"/>
          <w:smallCaps/>
          <w:color w:val="auto"/>
        </w:rPr>
        <w:t>APUC Strategic Management Costs</w:t>
      </w:r>
      <w:bookmarkEnd w:id="11"/>
    </w:p>
    <w:p w:rsidR="004C0C3F" w:rsidRPr="0025491D" w:rsidRDefault="004C0C3F" w:rsidP="004C0C3F">
      <w:pPr>
        <w:rPr>
          <w:i/>
          <w:sz w:val="26"/>
          <w:szCs w:val="26"/>
        </w:rPr>
      </w:pPr>
    </w:p>
    <w:p w:rsidR="004C0C3F" w:rsidRPr="0025491D" w:rsidRDefault="004C0C3F" w:rsidP="004C0C3F">
      <w:pPr>
        <w:ind w:firstLine="567"/>
        <w:jc w:val="both"/>
        <w:rPr>
          <w:sz w:val="26"/>
          <w:szCs w:val="26"/>
        </w:rPr>
      </w:pPr>
      <w:r w:rsidRPr="0025491D">
        <w:rPr>
          <w:sz w:val="26"/>
          <w:szCs w:val="26"/>
        </w:rPr>
        <w:t xml:space="preserve">Strategic management decisions are critical for any public utility.  The need for strategic management is even more pronounced for APUC as a publicly traded </w:t>
      </w:r>
      <w:r>
        <w:rPr>
          <w:sz w:val="26"/>
          <w:szCs w:val="26"/>
        </w:rPr>
        <w:t>company</w:t>
      </w:r>
      <w:r w:rsidRPr="0025491D">
        <w:rPr>
          <w:sz w:val="26"/>
          <w:szCs w:val="26"/>
        </w:rPr>
        <w:t xml:space="preserve">, which depends on access to capital funding through public sales of units.  APUC seeks to hire talented strategic managers that aid in running each facility owned by the </w:t>
      </w:r>
      <w:r>
        <w:rPr>
          <w:sz w:val="26"/>
          <w:szCs w:val="26"/>
        </w:rPr>
        <w:t>company</w:t>
      </w:r>
      <w:r w:rsidRPr="0025491D">
        <w:rPr>
          <w:sz w:val="26"/>
          <w:szCs w:val="26"/>
        </w:rPr>
        <w:t xml:space="preserve"> as efficiently and effectively as possible. This ensures the long term health of each utility and ensures that rates are kept as low as possible without compromising the level of service. It also facilitates each </w:t>
      </w:r>
      <w:r>
        <w:rPr>
          <w:sz w:val="26"/>
          <w:szCs w:val="26"/>
        </w:rPr>
        <w:t>r</w:t>
      </w:r>
      <w:r w:rsidRPr="0025491D">
        <w:rPr>
          <w:sz w:val="26"/>
          <w:szCs w:val="26"/>
        </w:rPr>
        <w:t xml:space="preserve">egulated </w:t>
      </w:r>
      <w:r>
        <w:rPr>
          <w:sz w:val="26"/>
          <w:szCs w:val="26"/>
        </w:rPr>
        <w:t>u</w:t>
      </w:r>
      <w:r w:rsidRPr="0025491D">
        <w:rPr>
          <w:sz w:val="26"/>
          <w:szCs w:val="26"/>
        </w:rPr>
        <w:t>tility’s access to necessary capital funding at reduced costs.  The costs included in Strategic Management Costs fal</w:t>
      </w:r>
      <w:r>
        <w:rPr>
          <w:sz w:val="26"/>
          <w:szCs w:val="26"/>
        </w:rPr>
        <w:t>l into the following categories.</w:t>
      </w:r>
    </w:p>
    <w:p w:rsidR="004C0C3F" w:rsidRDefault="004C0C3F" w:rsidP="004C0C3F">
      <w:pPr>
        <w:jc w:val="center"/>
        <w:rPr>
          <w:b/>
          <w:sz w:val="26"/>
          <w:szCs w:val="26"/>
        </w:rPr>
      </w:pPr>
    </w:p>
    <w:p w:rsidR="004C0C3F" w:rsidRPr="00373FBD" w:rsidRDefault="00373FBD" w:rsidP="00373FBD">
      <w:pPr>
        <w:pStyle w:val="ListParagraph"/>
        <w:numPr>
          <w:ilvl w:val="0"/>
          <w:numId w:val="13"/>
        </w:numPr>
        <w:jc w:val="both"/>
        <w:rPr>
          <w:sz w:val="26"/>
          <w:szCs w:val="26"/>
        </w:rPr>
      </w:pPr>
      <w:r>
        <w:rPr>
          <w:sz w:val="26"/>
          <w:szCs w:val="26"/>
        </w:rPr>
        <w:t>Board of Directors</w:t>
      </w:r>
    </w:p>
    <w:p w:rsidR="004C0C3F" w:rsidRPr="0025491D" w:rsidRDefault="004C0C3F" w:rsidP="004C0C3F">
      <w:pPr>
        <w:jc w:val="center"/>
        <w:rPr>
          <w:b/>
          <w:sz w:val="26"/>
          <w:szCs w:val="26"/>
        </w:rPr>
      </w:pPr>
    </w:p>
    <w:p w:rsidR="004C0C3F" w:rsidRDefault="00BD177B" w:rsidP="00BD177B">
      <w:pPr>
        <w:ind w:firstLine="720"/>
        <w:jc w:val="both"/>
        <w:rPr>
          <w:sz w:val="26"/>
          <w:szCs w:val="26"/>
        </w:rPr>
      </w:pPr>
      <w:r w:rsidRPr="0025491D">
        <w:rPr>
          <w:sz w:val="26"/>
          <w:szCs w:val="26"/>
        </w:rPr>
        <w:t xml:space="preserve">The Board of Directors provides strategic oversight on all company affairs including high level approvals of strategy, </w:t>
      </w:r>
      <w:r>
        <w:rPr>
          <w:sz w:val="26"/>
          <w:szCs w:val="26"/>
        </w:rPr>
        <w:t>o</w:t>
      </w:r>
      <w:r w:rsidRPr="0025491D">
        <w:rPr>
          <w:sz w:val="26"/>
          <w:szCs w:val="26"/>
        </w:rPr>
        <w:t>per</w:t>
      </w:r>
      <w:r>
        <w:rPr>
          <w:sz w:val="26"/>
          <w:szCs w:val="26"/>
        </w:rPr>
        <w:t>ation and maintenance budgets, c</w:t>
      </w:r>
      <w:r w:rsidRPr="0025491D">
        <w:rPr>
          <w:sz w:val="26"/>
          <w:szCs w:val="26"/>
        </w:rPr>
        <w:t>apital budgets, etc. In addition, the Board of Directors provides corporate governance and ensures that capital and costs are incurred prudently, which ultimately protects ratepayers.</w:t>
      </w:r>
    </w:p>
    <w:p w:rsidR="00BD177B" w:rsidRPr="0025491D" w:rsidRDefault="00BD177B" w:rsidP="004C0C3F">
      <w:pPr>
        <w:rPr>
          <w:sz w:val="26"/>
          <w:szCs w:val="26"/>
        </w:rPr>
      </w:pPr>
    </w:p>
    <w:p w:rsidR="004C0C3F" w:rsidRPr="00373FBD" w:rsidRDefault="00373FBD" w:rsidP="00373FBD">
      <w:pPr>
        <w:pStyle w:val="ListParagraph"/>
        <w:numPr>
          <w:ilvl w:val="0"/>
          <w:numId w:val="13"/>
        </w:numPr>
        <w:jc w:val="both"/>
        <w:rPr>
          <w:sz w:val="26"/>
          <w:szCs w:val="26"/>
        </w:rPr>
      </w:pPr>
      <w:r>
        <w:rPr>
          <w:sz w:val="26"/>
          <w:szCs w:val="26"/>
        </w:rPr>
        <w:t>General Legal Services</w:t>
      </w:r>
    </w:p>
    <w:p w:rsidR="004C0C3F" w:rsidRDefault="004C0C3F" w:rsidP="004C0C3F">
      <w:pPr>
        <w:jc w:val="center"/>
        <w:rPr>
          <w:sz w:val="26"/>
          <w:szCs w:val="26"/>
        </w:rPr>
      </w:pPr>
    </w:p>
    <w:p w:rsidR="00873085" w:rsidRPr="0025491D" w:rsidRDefault="00D85D33" w:rsidP="00873085">
      <w:pPr>
        <w:ind w:firstLine="720"/>
        <w:jc w:val="both"/>
        <w:rPr>
          <w:sz w:val="26"/>
          <w:szCs w:val="26"/>
        </w:rPr>
      </w:pPr>
      <w:r>
        <w:rPr>
          <w:sz w:val="26"/>
          <w:szCs w:val="26"/>
        </w:rPr>
        <w:t xml:space="preserve">General legal </w:t>
      </w:r>
      <w:r w:rsidR="00873085" w:rsidRPr="0025491D">
        <w:rPr>
          <w:sz w:val="26"/>
          <w:szCs w:val="26"/>
        </w:rPr>
        <w:t xml:space="preserve">services involve legal matters not specific to any single facility, including review of audited financial statements, annual information filings, </w:t>
      </w:r>
      <w:proofErr w:type="spellStart"/>
      <w:r w:rsidR="00873085" w:rsidRPr="0025491D">
        <w:rPr>
          <w:sz w:val="26"/>
          <w:szCs w:val="26"/>
        </w:rPr>
        <w:t>Sedar</w:t>
      </w:r>
      <w:proofErr w:type="spellEnd"/>
      <w:r w:rsidR="00873085" w:rsidRPr="0025491D">
        <w:rPr>
          <w:sz w:val="26"/>
          <w:szCs w:val="26"/>
        </w:rPr>
        <w:t xml:space="preserve"> filings, review of contracts with credit facilities, incorporation, tax issues of a legal nature, market compliance, and other similar legal costs.</w:t>
      </w:r>
      <w:r w:rsidR="00873085">
        <w:rPr>
          <w:sz w:val="26"/>
          <w:szCs w:val="26"/>
        </w:rPr>
        <w:t xml:space="preserve">  </w:t>
      </w:r>
      <w:r w:rsidR="00873085" w:rsidRPr="0025491D">
        <w:rPr>
          <w:sz w:val="26"/>
          <w:szCs w:val="26"/>
        </w:rPr>
        <w:t>These legal services are required in order for APUC to provide capital funding to individual utilities, without which the utilities could not provide adequate service.</w:t>
      </w:r>
      <w:r w:rsidR="00873085">
        <w:rPr>
          <w:sz w:val="26"/>
          <w:szCs w:val="26"/>
        </w:rPr>
        <w:t xml:space="preserve">  Additionally, the services </w:t>
      </w:r>
      <w:r w:rsidR="00873085" w:rsidRPr="0025491D">
        <w:rPr>
          <w:sz w:val="26"/>
          <w:szCs w:val="26"/>
        </w:rPr>
        <w:t>ensure that APUC</w:t>
      </w:r>
      <w:r w:rsidR="00873085">
        <w:rPr>
          <w:sz w:val="26"/>
          <w:szCs w:val="26"/>
        </w:rPr>
        <w:t>’s</w:t>
      </w:r>
      <w:r w:rsidR="00873085" w:rsidRPr="0025491D">
        <w:rPr>
          <w:sz w:val="26"/>
          <w:szCs w:val="26"/>
        </w:rPr>
        <w:t xml:space="preserve"> </w:t>
      </w:r>
      <w:proofErr w:type="gramStart"/>
      <w:r w:rsidR="00873085" w:rsidRPr="0025491D">
        <w:rPr>
          <w:sz w:val="26"/>
          <w:szCs w:val="26"/>
        </w:rPr>
        <w:t>subsidiaries remain compliant in all aspects of operations and prevents</w:t>
      </w:r>
      <w:proofErr w:type="gramEnd"/>
      <w:r w:rsidR="00873085" w:rsidRPr="0025491D">
        <w:rPr>
          <w:sz w:val="26"/>
          <w:szCs w:val="26"/>
        </w:rPr>
        <w:t xml:space="preserve"> those entities from being exposed to unnecessary risks. </w:t>
      </w:r>
    </w:p>
    <w:p w:rsidR="00BD177B" w:rsidRPr="00373FBD" w:rsidRDefault="00BD177B" w:rsidP="00BD177B">
      <w:pPr>
        <w:rPr>
          <w:sz w:val="26"/>
          <w:szCs w:val="26"/>
        </w:rPr>
      </w:pPr>
    </w:p>
    <w:p w:rsidR="004C0C3F" w:rsidRPr="00373FBD" w:rsidRDefault="004C0C3F" w:rsidP="00373FBD">
      <w:pPr>
        <w:pStyle w:val="BodyText"/>
        <w:numPr>
          <w:ilvl w:val="0"/>
          <w:numId w:val="13"/>
        </w:numPr>
        <w:rPr>
          <w:szCs w:val="26"/>
        </w:rPr>
      </w:pPr>
      <w:r w:rsidRPr="00373FBD">
        <w:rPr>
          <w:szCs w:val="26"/>
        </w:rPr>
        <w:t>Professional Services</w:t>
      </w:r>
    </w:p>
    <w:p w:rsidR="00D85D33" w:rsidRPr="00D85D33" w:rsidRDefault="00D85D33" w:rsidP="00D85D33">
      <w:pPr>
        <w:pStyle w:val="BodyText"/>
        <w:ind w:left="0" w:firstLine="0"/>
        <w:rPr>
          <w:caps/>
          <w:szCs w:val="26"/>
        </w:rPr>
      </w:pPr>
      <w:r>
        <w:rPr>
          <w:b/>
          <w:caps/>
          <w:szCs w:val="26"/>
        </w:rPr>
        <w:tab/>
      </w:r>
      <w:r w:rsidRPr="0025491D">
        <w:rPr>
          <w:szCs w:val="26"/>
        </w:rPr>
        <w:t>Professional Services including strategic plan reviews, capital market advisory services, ERP System maintenance, benefits consulting, and other similar professional services.</w:t>
      </w:r>
      <w:r w:rsidR="00A1079E">
        <w:rPr>
          <w:szCs w:val="26"/>
        </w:rPr>
        <w:t xml:space="preserve">  By providing these services</w:t>
      </w:r>
      <w:r w:rsidR="009C5AED">
        <w:rPr>
          <w:szCs w:val="26"/>
        </w:rPr>
        <w:t xml:space="preserve"> at a parent level, the subsidiaries are able to benefit from economies of scale.  Additionally, some of these services improve APUC’s access to capital which benefits all of its subsidiaries.  </w:t>
      </w:r>
      <w:r w:rsidR="00A1079E">
        <w:rPr>
          <w:szCs w:val="26"/>
        </w:rPr>
        <w:t xml:space="preserve"> </w:t>
      </w:r>
    </w:p>
    <w:p w:rsidR="004C0C3F" w:rsidRPr="00373FBD" w:rsidRDefault="004C0C3F" w:rsidP="00BD177B">
      <w:pPr>
        <w:pStyle w:val="Subtitle"/>
        <w:numPr>
          <w:ilvl w:val="0"/>
          <w:numId w:val="12"/>
        </w:numPr>
        <w:spacing w:before="0" w:line="480" w:lineRule="auto"/>
        <w:ind w:left="567" w:hanging="567"/>
        <w:rPr>
          <w:rFonts w:ascii="Times New Roman" w:hAnsi="Times New Roman" w:cs="Times New Roman"/>
          <w:b w:val="0"/>
          <w:i w:val="0"/>
          <w:smallCaps/>
          <w:color w:val="auto"/>
        </w:rPr>
      </w:pPr>
      <w:bookmarkStart w:id="12" w:name="_Toc310250964"/>
      <w:r w:rsidRPr="00373FBD">
        <w:rPr>
          <w:rFonts w:ascii="Times New Roman" w:hAnsi="Times New Roman" w:cs="Times New Roman"/>
          <w:b w:val="0"/>
          <w:i w:val="0"/>
          <w:smallCaps/>
          <w:color w:val="auto"/>
        </w:rPr>
        <w:t>Access to Capital Markets</w:t>
      </w:r>
      <w:bookmarkEnd w:id="12"/>
    </w:p>
    <w:p w:rsidR="004C0C3F" w:rsidRPr="00310A02" w:rsidRDefault="004C0C3F" w:rsidP="004C0C3F">
      <w:pPr>
        <w:ind w:firstLine="567"/>
        <w:jc w:val="both"/>
        <w:rPr>
          <w:sz w:val="26"/>
          <w:szCs w:val="26"/>
        </w:rPr>
      </w:pPr>
      <w:r w:rsidRPr="00310A02">
        <w:rPr>
          <w:sz w:val="26"/>
          <w:szCs w:val="26"/>
        </w:rPr>
        <w:t>One of A</w:t>
      </w:r>
      <w:r>
        <w:rPr>
          <w:sz w:val="26"/>
          <w:szCs w:val="26"/>
        </w:rPr>
        <w:t>PU</w:t>
      </w:r>
      <w:r w:rsidRPr="00310A02">
        <w:rPr>
          <w:sz w:val="26"/>
          <w:szCs w:val="26"/>
        </w:rPr>
        <w:t xml:space="preserve">C’s primary functions is to ensure its subsidiaries have access to quality capital. APUC is listed on the Toronto Stock Exchange, a leading financial market. In order to allow </w:t>
      </w:r>
      <w:proofErr w:type="spellStart"/>
      <w:r w:rsidRPr="00310A02">
        <w:rPr>
          <w:sz w:val="26"/>
          <w:szCs w:val="26"/>
        </w:rPr>
        <w:t>it</w:t>
      </w:r>
      <w:proofErr w:type="spellEnd"/>
      <w:r w:rsidRPr="00310A02">
        <w:rPr>
          <w:sz w:val="26"/>
          <w:szCs w:val="26"/>
        </w:rPr>
        <w:t xml:space="preserve"> subsidiaries to have continued access to those capital markets, AP</w:t>
      </w:r>
      <w:r>
        <w:rPr>
          <w:sz w:val="26"/>
          <w:szCs w:val="26"/>
        </w:rPr>
        <w:t>U</w:t>
      </w:r>
      <w:r w:rsidRPr="00310A02">
        <w:rPr>
          <w:sz w:val="26"/>
          <w:szCs w:val="26"/>
        </w:rPr>
        <w:t>C incurs the following costs.  These services and costs are a prerequisite to the subsidiaries continued access to those capital markets.</w:t>
      </w:r>
    </w:p>
    <w:p w:rsidR="004C0C3F" w:rsidRPr="00310A02" w:rsidRDefault="004C0C3F" w:rsidP="004C0C3F">
      <w:pPr>
        <w:rPr>
          <w:sz w:val="26"/>
          <w:szCs w:val="26"/>
        </w:rPr>
      </w:pPr>
    </w:p>
    <w:p w:rsidR="004C0C3F" w:rsidRPr="00373FBD" w:rsidRDefault="00373FBD" w:rsidP="00373FBD">
      <w:pPr>
        <w:pStyle w:val="ListParagraph"/>
        <w:numPr>
          <w:ilvl w:val="0"/>
          <w:numId w:val="14"/>
        </w:numPr>
        <w:jc w:val="both"/>
        <w:rPr>
          <w:sz w:val="26"/>
          <w:szCs w:val="26"/>
        </w:rPr>
      </w:pPr>
      <w:r>
        <w:rPr>
          <w:sz w:val="26"/>
          <w:szCs w:val="26"/>
        </w:rPr>
        <w:t>License and Permit Fees</w:t>
      </w:r>
    </w:p>
    <w:p w:rsidR="00CE6C0F" w:rsidRDefault="00CE6C0F" w:rsidP="00CE6C0F">
      <w:pPr>
        <w:jc w:val="both"/>
        <w:rPr>
          <w:sz w:val="26"/>
          <w:szCs w:val="26"/>
        </w:rPr>
      </w:pPr>
    </w:p>
    <w:p w:rsidR="00CE6C0F" w:rsidRPr="00310A02" w:rsidRDefault="00CE6C0F" w:rsidP="00CE6C0F">
      <w:pPr>
        <w:jc w:val="both"/>
        <w:rPr>
          <w:sz w:val="26"/>
          <w:szCs w:val="26"/>
        </w:rPr>
      </w:pPr>
      <w:r>
        <w:rPr>
          <w:sz w:val="26"/>
          <w:szCs w:val="26"/>
        </w:rPr>
        <w:tab/>
      </w:r>
      <w:r w:rsidR="008116C7">
        <w:rPr>
          <w:sz w:val="26"/>
          <w:szCs w:val="26"/>
        </w:rPr>
        <w:t xml:space="preserve">In connection with APUC’s participation in the Toronto Stock Exchange, APUC incurs certain license and permit fees such as </w:t>
      </w:r>
      <w:proofErr w:type="spellStart"/>
      <w:r w:rsidR="008116C7" w:rsidRPr="00310A02">
        <w:rPr>
          <w:sz w:val="26"/>
          <w:szCs w:val="26"/>
        </w:rPr>
        <w:t>Sedar</w:t>
      </w:r>
      <w:proofErr w:type="spellEnd"/>
      <w:r w:rsidR="008116C7" w:rsidRPr="00310A02">
        <w:rPr>
          <w:sz w:val="26"/>
          <w:szCs w:val="26"/>
        </w:rPr>
        <w:t xml:space="preserve"> fees, annual filing fees, licensing fees, etc.</w:t>
      </w:r>
      <w:r w:rsidR="008116C7">
        <w:rPr>
          <w:sz w:val="26"/>
          <w:szCs w:val="26"/>
        </w:rPr>
        <w:t xml:space="preserve">  </w:t>
      </w:r>
      <w:r w:rsidRPr="00310A02">
        <w:rPr>
          <w:sz w:val="26"/>
          <w:szCs w:val="26"/>
        </w:rPr>
        <w:t>These licensing and permit fees are required in order to sell unit</w:t>
      </w:r>
      <w:r>
        <w:rPr>
          <w:sz w:val="26"/>
          <w:szCs w:val="26"/>
        </w:rPr>
        <w:t xml:space="preserve">s on the Toronto Stock Exchange, which in turn provides funding for utility operations.  </w:t>
      </w:r>
    </w:p>
    <w:p w:rsidR="004C0C3F" w:rsidRDefault="004C0C3F" w:rsidP="004C0C3F">
      <w:pPr>
        <w:jc w:val="center"/>
        <w:rPr>
          <w:b/>
          <w:sz w:val="26"/>
          <w:szCs w:val="26"/>
        </w:rPr>
      </w:pPr>
    </w:p>
    <w:p w:rsidR="004C0C3F" w:rsidRPr="00373FBD" w:rsidRDefault="00373FBD" w:rsidP="00373FBD">
      <w:pPr>
        <w:pStyle w:val="ListParagraph"/>
        <w:numPr>
          <w:ilvl w:val="0"/>
          <w:numId w:val="14"/>
        </w:numPr>
        <w:jc w:val="both"/>
        <w:rPr>
          <w:sz w:val="26"/>
          <w:szCs w:val="26"/>
        </w:rPr>
      </w:pPr>
      <w:r>
        <w:rPr>
          <w:sz w:val="26"/>
          <w:szCs w:val="26"/>
        </w:rPr>
        <w:t>Escrow Fees</w:t>
      </w:r>
    </w:p>
    <w:p w:rsidR="004C0C3F" w:rsidRDefault="004C0C3F" w:rsidP="004C0C3F">
      <w:pPr>
        <w:rPr>
          <w:sz w:val="26"/>
          <w:szCs w:val="26"/>
        </w:rPr>
      </w:pPr>
    </w:p>
    <w:p w:rsidR="00373FBD" w:rsidRPr="00310A02" w:rsidRDefault="00373FBD" w:rsidP="00373FBD">
      <w:pPr>
        <w:jc w:val="both"/>
        <w:rPr>
          <w:sz w:val="26"/>
          <w:szCs w:val="26"/>
        </w:rPr>
      </w:pPr>
      <w:r>
        <w:rPr>
          <w:sz w:val="26"/>
          <w:szCs w:val="26"/>
        </w:rPr>
        <w:tab/>
        <w:t xml:space="preserve">In connection with the payment of dividends to unit holders, APUC incurs escrow fees.  </w:t>
      </w:r>
      <w:r w:rsidRPr="00310A02">
        <w:rPr>
          <w:sz w:val="26"/>
          <w:szCs w:val="26"/>
        </w:rPr>
        <w:t xml:space="preserve">Escrow </w:t>
      </w:r>
      <w:r>
        <w:rPr>
          <w:sz w:val="26"/>
          <w:szCs w:val="26"/>
        </w:rPr>
        <w:t>f</w:t>
      </w:r>
      <w:r w:rsidRPr="00310A02">
        <w:rPr>
          <w:sz w:val="26"/>
          <w:szCs w:val="26"/>
        </w:rPr>
        <w:t>ees are incurred to ensure continued access to capital and ensure continuing and ongoing investments by shareholders.  Without such escrow fees, APUC’s subsidiaries would not have a readily available source of capital funding.</w:t>
      </w:r>
    </w:p>
    <w:p w:rsidR="004C0C3F" w:rsidRPr="00310A02" w:rsidRDefault="004C0C3F" w:rsidP="004C0C3F">
      <w:pPr>
        <w:rPr>
          <w:sz w:val="26"/>
          <w:szCs w:val="26"/>
        </w:rPr>
      </w:pPr>
    </w:p>
    <w:p w:rsidR="004C0C3F" w:rsidRPr="0096331D" w:rsidRDefault="0096331D" w:rsidP="0096331D">
      <w:pPr>
        <w:pStyle w:val="ListParagraph"/>
        <w:numPr>
          <w:ilvl w:val="0"/>
          <w:numId w:val="14"/>
        </w:numPr>
        <w:jc w:val="both"/>
        <w:rPr>
          <w:sz w:val="26"/>
          <w:szCs w:val="26"/>
        </w:rPr>
      </w:pPr>
      <w:proofErr w:type="spellStart"/>
      <w:r>
        <w:rPr>
          <w:sz w:val="26"/>
          <w:szCs w:val="26"/>
        </w:rPr>
        <w:t>Unith</w:t>
      </w:r>
      <w:r w:rsidR="004C0C3F" w:rsidRPr="0096331D">
        <w:rPr>
          <w:sz w:val="26"/>
          <w:szCs w:val="26"/>
        </w:rPr>
        <w:t>older</w:t>
      </w:r>
      <w:proofErr w:type="spellEnd"/>
      <w:r w:rsidR="004C0C3F" w:rsidRPr="0096331D">
        <w:rPr>
          <w:sz w:val="26"/>
          <w:szCs w:val="26"/>
        </w:rPr>
        <w:t xml:space="preserve"> Communications</w:t>
      </w:r>
    </w:p>
    <w:p w:rsidR="004C0C3F" w:rsidRDefault="004C0C3F" w:rsidP="004C0C3F">
      <w:pPr>
        <w:rPr>
          <w:sz w:val="26"/>
          <w:szCs w:val="26"/>
        </w:rPr>
      </w:pPr>
    </w:p>
    <w:p w:rsidR="004C0C3F" w:rsidRPr="000C7B7A" w:rsidRDefault="00373FBD" w:rsidP="0096331D">
      <w:pPr>
        <w:ind w:firstLine="720"/>
        <w:jc w:val="both"/>
        <w:rPr>
          <w:szCs w:val="26"/>
        </w:rPr>
      </w:pPr>
      <w:r w:rsidRPr="00310A02">
        <w:rPr>
          <w:sz w:val="26"/>
          <w:szCs w:val="26"/>
        </w:rPr>
        <w:t>Unit holder communication costs are incurred to comply with filing and regulatory requirements of the Toronto Stock Exchange and meet the expectations of shareholders.</w:t>
      </w:r>
      <w:r>
        <w:rPr>
          <w:sz w:val="26"/>
          <w:szCs w:val="26"/>
        </w:rPr>
        <w:t xml:space="preserve">  These costs include items such as news releases and unit holder conference calls.  </w:t>
      </w:r>
      <w:r w:rsidRPr="00310A02">
        <w:rPr>
          <w:sz w:val="26"/>
          <w:szCs w:val="26"/>
        </w:rPr>
        <w:t>In the absence of shareholder communication costs, investors would not invest in the units of APUC, and in turn, APUC would not have capital to invest in its subsidiaries. With such communications services, the subsidiaries would not have a readily available source of capital funding.</w:t>
      </w:r>
    </w:p>
    <w:p w:rsidR="004C0C3F" w:rsidRPr="00BD177B" w:rsidRDefault="004C0C3F" w:rsidP="0096331D">
      <w:pPr>
        <w:pStyle w:val="Subtitle"/>
        <w:rPr>
          <w:rFonts w:ascii="Times New Roman" w:hAnsi="Times New Roman" w:cs="Times New Roman"/>
          <w:b w:val="0"/>
          <w:i w:val="0"/>
          <w:color w:val="auto"/>
        </w:rPr>
      </w:pPr>
      <w:bookmarkStart w:id="13" w:name="_Toc310250965"/>
      <w:r w:rsidRPr="00BD177B">
        <w:rPr>
          <w:rFonts w:ascii="Times New Roman" w:hAnsi="Times New Roman" w:cs="Times New Roman"/>
          <w:b w:val="0"/>
          <w:i w:val="0"/>
          <w:color w:val="auto"/>
        </w:rPr>
        <w:t>3.</w:t>
      </w:r>
      <w:r w:rsidRPr="00BD177B">
        <w:rPr>
          <w:rFonts w:ascii="Times New Roman" w:hAnsi="Times New Roman" w:cs="Times New Roman"/>
          <w:b w:val="0"/>
          <w:i w:val="0"/>
          <w:color w:val="auto"/>
        </w:rPr>
        <w:tab/>
      </w:r>
      <w:r w:rsidRPr="0096331D">
        <w:rPr>
          <w:rFonts w:ascii="Times New Roman" w:hAnsi="Times New Roman" w:cs="Times New Roman"/>
          <w:b w:val="0"/>
          <w:i w:val="0"/>
          <w:smallCaps/>
          <w:color w:val="auto"/>
        </w:rPr>
        <w:t>APUC Financial Controls</w:t>
      </w:r>
      <w:bookmarkEnd w:id="13"/>
    </w:p>
    <w:p w:rsidR="004C0C3F" w:rsidRPr="002533B1" w:rsidRDefault="004C0C3F" w:rsidP="004C0C3F">
      <w:pPr>
        <w:rPr>
          <w:i/>
          <w:sz w:val="26"/>
          <w:szCs w:val="26"/>
        </w:rPr>
      </w:pPr>
    </w:p>
    <w:p w:rsidR="004C0C3F" w:rsidRPr="002533B1" w:rsidRDefault="004C0C3F" w:rsidP="004C0C3F">
      <w:pPr>
        <w:ind w:firstLine="567"/>
        <w:jc w:val="both"/>
        <w:rPr>
          <w:sz w:val="26"/>
          <w:szCs w:val="26"/>
        </w:rPr>
      </w:pPr>
      <w:r w:rsidRPr="002533B1">
        <w:rPr>
          <w:sz w:val="26"/>
          <w:szCs w:val="26"/>
        </w:rPr>
        <w:t xml:space="preserve">Financial </w:t>
      </w:r>
      <w:r>
        <w:rPr>
          <w:sz w:val="26"/>
          <w:szCs w:val="26"/>
        </w:rPr>
        <w:t>c</w:t>
      </w:r>
      <w:r w:rsidRPr="002533B1">
        <w:rPr>
          <w:sz w:val="26"/>
          <w:szCs w:val="26"/>
        </w:rPr>
        <w:t>ontrol costs incurred by AP</w:t>
      </w:r>
      <w:r>
        <w:rPr>
          <w:sz w:val="26"/>
          <w:szCs w:val="26"/>
        </w:rPr>
        <w:t>U</w:t>
      </w:r>
      <w:r w:rsidRPr="002533B1">
        <w:rPr>
          <w:sz w:val="26"/>
          <w:szCs w:val="26"/>
        </w:rPr>
        <w:t>C i</w:t>
      </w:r>
      <w:r>
        <w:rPr>
          <w:sz w:val="26"/>
          <w:szCs w:val="26"/>
        </w:rPr>
        <w:t>nclude costs for audit services</w:t>
      </w:r>
      <w:r w:rsidRPr="002533B1">
        <w:rPr>
          <w:sz w:val="26"/>
          <w:szCs w:val="26"/>
        </w:rPr>
        <w:t xml:space="preserve"> and tax services. These costs are necessary to ensure that the subsidiaries are operat</w:t>
      </w:r>
      <w:r>
        <w:rPr>
          <w:sz w:val="26"/>
          <w:szCs w:val="26"/>
        </w:rPr>
        <w:t>ing</w:t>
      </w:r>
      <w:r w:rsidRPr="002533B1">
        <w:rPr>
          <w:sz w:val="26"/>
          <w:szCs w:val="26"/>
        </w:rPr>
        <w:t xml:space="preserve"> in a manner that meets audit standards and regulatory requirements</w:t>
      </w:r>
      <w:r>
        <w:rPr>
          <w:sz w:val="26"/>
          <w:szCs w:val="26"/>
        </w:rPr>
        <w:t xml:space="preserve">, which </w:t>
      </w:r>
      <w:r w:rsidRPr="002533B1">
        <w:rPr>
          <w:sz w:val="26"/>
          <w:szCs w:val="26"/>
        </w:rPr>
        <w:t>have strong financial and operational controls, and financial transactions are recorded accurately and prudently.  Without these services, the regulated utilities would not have a readily available source of capital funding.</w:t>
      </w:r>
    </w:p>
    <w:p w:rsidR="004C0C3F" w:rsidRDefault="004C0C3F" w:rsidP="004C0C3F">
      <w:pPr>
        <w:ind w:firstLine="720"/>
        <w:jc w:val="both"/>
        <w:rPr>
          <w:sz w:val="26"/>
          <w:szCs w:val="26"/>
        </w:rPr>
      </w:pPr>
    </w:p>
    <w:p w:rsidR="002F1CC7" w:rsidRPr="002533B1" w:rsidRDefault="002F1CC7" w:rsidP="004C0C3F">
      <w:pPr>
        <w:ind w:firstLine="720"/>
        <w:jc w:val="both"/>
        <w:rPr>
          <w:sz w:val="26"/>
          <w:szCs w:val="26"/>
        </w:rPr>
      </w:pPr>
    </w:p>
    <w:p w:rsidR="002F1CC7" w:rsidRDefault="0096331D" w:rsidP="002F1CC7">
      <w:pPr>
        <w:pStyle w:val="ListParagraph"/>
        <w:keepNext/>
        <w:numPr>
          <w:ilvl w:val="0"/>
          <w:numId w:val="16"/>
        </w:numPr>
        <w:spacing w:after="240"/>
        <w:ind w:left="714" w:hanging="357"/>
        <w:jc w:val="both"/>
        <w:rPr>
          <w:sz w:val="26"/>
          <w:szCs w:val="26"/>
        </w:rPr>
      </w:pPr>
      <w:r w:rsidRPr="002F1CC7">
        <w:rPr>
          <w:sz w:val="26"/>
          <w:szCs w:val="26"/>
        </w:rPr>
        <w:t>Audit Fees</w:t>
      </w:r>
    </w:p>
    <w:p w:rsidR="002F1CC7" w:rsidRPr="002F1CC7" w:rsidRDefault="002F1CC7" w:rsidP="002F1CC7">
      <w:pPr>
        <w:spacing w:after="240"/>
        <w:ind w:firstLine="567"/>
        <w:jc w:val="both"/>
        <w:rPr>
          <w:sz w:val="26"/>
          <w:szCs w:val="26"/>
        </w:rPr>
      </w:pPr>
      <w:r w:rsidRPr="002533B1">
        <w:rPr>
          <w:sz w:val="26"/>
          <w:szCs w:val="26"/>
        </w:rPr>
        <w:t xml:space="preserve">Audits are done on a yearly basis and reviews are performed quarterly on all facilities owned by APUC on an aggregate level.  These corporate parent level audits reduce the cost of the standalone audits significantly for utilities which must perform its own separate audits. Where standalone audits are not required, ratepayers receive benefits of additional financial rigor, as well as access to capital, and financial soundness checks by third parties. Finally, during rate cases, the existence of audits provides </w:t>
      </w:r>
      <w:r>
        <w:rPr>
          <w:sz w:val="26"/>
          <w:szCs w:val="26"/>
        </w:rPr>
        <w:t>s</w:t>
      </w:r>
      <w:r w:rsidRPr="002533B1">
        <w:rPr>
          <w:sz w:val="26"/>
          <w:szCs w:val="26"/>
        </w:rPr>
        <w:t xml:space="preserve">taff and </w:t>
      </w:r>
      <w:proofErr w:type="spellStart"/>
      <w:r>
        <w:rPr>
          <w:sz w:val="26"/>
          <w:szCs w:val="26"/>
        </w:rPr>
        <w:t>i</w:t>
      </w:r>
      <w:r w:rsidRPr="002533B1">
        <w:rPr>
          <w:sz w:val="26"/>
          <w:szCs w:val="26"/>
        </w:rPr>
        <w:t>ntervenors</w:t>
      </w:r>
      <w:proofErr w:type="spellEnd"/>
      <w:r w:rsidRPr="002533B1">
        <w:rPr>
          <w:sz w:val="26"/>
          <w:szCs w:val="26"/>
        </w:rPr>
        <w:t xml:space="preserve"> additional reliance on the company records, thus reducing overall rate case costs. The aggregate audit is necessary for the regulated utilities to have continued access to capital markets and unit holders.</w:t>
      </w:r>
    </w:p>
    <w:p w:rsidR="004C0C3F" w:rsidRPr="002F1CC7" w:rsidRDefault="002F1CC7" w:rsidP="002F1CC7">
      <w:pPr>
        <w:pStyle w:val="ListParagraph"/>
        <w:keepNext/>
        <w:numPr>
          <w:ilvl w:val="0"/>
          <w:numId w:val="16"/>
        </w:numPr>
        <w:spacing w:after="240"/>
        <w:ind w:left="714" w:hanging="357"/>
        <w:jc w:val="both"/>
        <w:rPr>
          <w:sz w:val="26"/>
          <w:szCs w:val="26"/>
        </w:rPr>
      </w:pPr>
      <w:r>
        <w:rPr>
          <w:sz w:val="26"/>
          <w:szCs w:val="26"/>
        </w:rPr>
        <w:t>Tax Services</w:t>
      </w:r>
    </w:p>
    <w:p w:rsidR="004C0C3F" w:rsidRPr="002533B1" w:rsidRDefault="002F1CC7" w:rsidP="002F1CC7">
      <w:pPr>
        <w:ind w:firstLine="567"/>
        <w:jc w:val="both"/>
        <w:rPr>
          <w:sz w:val="26"/>
          <w:szCs w:val="26"/>
        </w:rPr>
      </w:pPr>
      <w:r w:rsidRPr="002533B1">
        <w:rPr>
          <w:sz w:val="26"/>
          <w:szCs w:val="26"/>
        </w:rPr>
        <w:t xml:space="preserve">Taxes are paid on behalf of the </w:t>
      </w:r>
      <w:r>
        <w:rPr>
          <w:sz w:val="26"/>
          <w:szCs w:val="26"/>
        </w:rPr>
        <w:t>r</w:t>
      </w:r>
      <w:r w:rsidRPr="002533B1">
        <w:rPr>
          <w:sz w:val="26"/>
          <w:szCs w:val="26"/>
        </w:rPr>
        <w:t xml:space="preserve">egulated </w:t>
      </w:r>
      <w:r>
        <w:rPr>
          <w:sz w:val="26"/>
          <w:szCs w:val="26"/>
        </w:rPr>
        <w:t>u</w:t>
      </w:r>
      <w:r w:rsidRPr="002533B1">
        <w:rPr>
          <w:sz w:val="26"/>
          <w:szCs w:val="26"/>
        </w:rPr>
        <w:t xml:space="preserve">tilities at the parent level as part of a consolidated United States tax return.  Tax services </w:t>
      </w:r>
      <w:r w:rsidR="006231E8">
        <w:rPr>
          <w:sz w:val="26"/>
          <w:szCs w:val="26"/>
        </w:rPr>
        <w:t xml:space="preserve">such as planning and filing </w:t>
      </w:r>
      <w:r w:rsidRPr="002533B1">
        <w:rPr>
          <w:sz w:val="26"/>
          <w:szCs w:val="26"/>
        </w:rPr>
        <w:t>are provided by third parties.</w:t>
      </w:r>
      <w:r>
        <w:rPr>
          <w:sz w:val="26"/>
          <w:szCs w:val="26"/>
        </w:rPr>
        <w:t xml:space="preserve">  </w:t>
      </w:r>
      <w:r w:rsidRPr="002533B1">
        <w:rPr>
          <w:sz w:val="26"/>
          <w:szCs w:val="26"/>
        </w:rPr>
        <w:t xml:space="preserve">Filing tax returns on a consolidated basis benefits each regulated utility by reducing the costs that otherwise would be incurred by such </w:t>
      </w:r>
      <w:r>
        <w:rPr>
          <w:sz w:val="26"/>
          <w:szCs w:val="26"/>
        </w:rPr>
        <w:t>u</w:t>
      </w:r>
      <w:r w:rsidRPr="002533B1">
        <w:rPr>
          <w:sz w:val="26"/>
          <w:szCs w:val="26"/>
        </w:rPr>
        <w:t>tility in filing its own separate tax return.</w:t>
      </w:r>
    </w:p>
    <w:p w:rsidR="004C0C3F" w:rsidRPr="00BD177B" w:rsidRDefault="004C0C3F" w:rsidP="002F1CC7">
      <w:pPr>
        <w:pStyle w:val="Subtitle"/>
        <w:rPr>
          <w:rFonts w:ascii="Times New Roman" w:hAnsi="Times New Roman" w:cs="Times New Roman"/>
          <w:b w:val="0"/>
          <w:i w:val="0"/>
          <w:color w:val="auto"/>
        </w:rPr>
      </w:pPr>
      <w:bookmarkStart w:id="14" w:name="_Toc310250966"/>
      <w:r w:rsidRPr="00BD177B">
        <w:rPr>
          <w:rFonts w:ascii="Times New Roman" w:hAnsi="Times New Roman" w:cs="Times New Roman"/>
          <w:b w:val="0"/>
          <w:i w:val="0"/>
          <w:color w:val="auto"/>
        </w:rPr>
        <w:t>4.</w:t>
      </w:r>
      <w:r w:rsidRPr="00BD177B">
        <w:rPr>
          <w:rFonts w:ascii="Times New Roman" w:hAnsi="Times New Roman" w:cs="Times New Roman"/>
          <w:b w:val="0"/>
          <w:i w:val="0"/>
          <w:color w:val="auto"/>
        </w:rPr>
        <w:tab/>
      </w:r>
      <w:r w:rsidRPr="002F1CC7">
        <w:rPr>
          <w:rFonts w:ascii="Times New Roman" w:hAnsi="Times New Roman" w:cs="Times New Roman"/>
          <w:b w:val="0"/>
          <w:i w:val="0"/>
          <w:smallCaps/>
          <w:color w:val="auto"/>
        </w:rPr>
        <w:t>APUC Administrative Costs</w:t>
      </w:r>
      <w:bookmarkEnd w:id="14"/>
    </w:p>
    <w:p w:rsidR="004C0C3F" w:rsidRPr="002533B1" w:rsidRDefault="004C0C3F" w:rsidP="004C0C3F">
      <w:pPr>
        <w:rPr>
          <w:i/>
          <w:sz w:val="26"/>
          <w:szCs w:val="26"/>
        </w:rPr>
      </w:pPr>
    </w:p>
    <w:p w:rsidR="004C0C3F" w:rsidRPr="00690CBC" w:rsidRDefault="004C0C3F" w:rsidP="004C0C3F">
      <w:pPr>
        <w:widowControl w:val="0"/>
        <w:ind w:firstLine="567"/>
        <w:jc w:val="both"/>
        <w:rPr>
          <w:sz w:val="26"/>
          <w:szCs w:val="26"/>
        </w:rPr>
      </w:pPr>
      <w:r w:rsidRPr="002533B1">
        <w:rPr>
          <w:sz w:val="26"/>
          <w:szCs w:val="26"/>
        </w:rPr>
        <w:t>Finally, admin</w:t>
      </w:r>
      <w:r>
        <w:rPr>
          <w:sz w:val="26"/>
          <w:szCs w:val="26"/>
        </w:rPr>
        <w:t>istrative costs incurred by APUC</w:t>
      </w:r>
      <w:r w:rsidRPr="002533B1">
        <w:rPr>
          <w:sz w:val="26"/>
          <w:szCs w:val="26"/>
        </w:rPr>
        <w:t xml:space="preserve"> such as rent, depreciation of office furniture, depreciation of computers, and general office costs are required to house all the services mentioned above. Without these administrative costs, the employees of AP</w:t>
      </w:r>
      <w:r>
        <w:rPr>
          <w:sz w:val="26"/>
          <w:szCs w:val="26"/>
        </w:rPr>
        <w:t>U</w:t>
      </w:r>
      <w:r w:rsidRPr="002533B1">
        <w:rPr>
          <w:sz w:val="26"/>
          <w:szCs w:val="26"/>
        </w:rPr>
        <w:t>C could not perform their work and provide the necessary services to the regulated utilities. These administrative costs also include training for corporate employees.</w:t>
      </w:r>
      <w:r>
        <w:rPr>
          <w:sz w:val="26"/>
          <w:szCs w:val="26"/>
        </w:rPr>
        <w:t xml:space="preserve">  </w:t>
      </w:r>
      <w:r w:rsidRPr="002533B1">
        <w:rPr>
          <w:sz w:val="26"/>
          <w:szCs w:val="26"/>
        </w:rPr>
        <w:t xml:space="preserve">The </w:t>
      </w:r>
      <w:r w:rsidR="00037F90">
        <w:rPr>
          <w:sz w:val="26"/>
          <w:szCs w:val="26"/>
        </w:rPr>
        <w:t>Three Factor Methodology</w:t>
      </w:r>
      <w:r w:rsidRPr="002533B1">
        <w:rPr>
          <w:sz w:val="26"/>
          <w:szCs w:val="26"/>
        </w:rPr>
        <w:t xml:space="preserve"> is used to allocate these costs</w:t>
      </w:r>
      <w:r>
        <w:rPr>
          <w:sz w:val="26"/>
          <w:szCs w:val="26"/>
        </w:rPr>
        <w:t>.</w:t>
      </w:r>
    </w:p>
    <w:p w:rsidR="004C0C3F" w:rsidRDefault="004C0C3F"/>
    <w:p w:rsidR="004C0C3F" w:rsidRDefault="004C0C3F">
      <w:r>
        <w:br w:type="page"/>
      </w:r>
    </w:p>
    <w:p w:rsidR="00025428" w:rsidRDefault="00025428" w:rsidP="00F949F8">
      <w:pPr>
        <w:pStyle w:val="Subtitle"/>
      </w:pPr>
      <w:bookmarkStart w:id="15" w:name="_Toc310250967"/>
      <w:r>
        <w:t>APPENDIX 3 – LIFE OF AN INVOICE</w:t>
      </w:r>
      <w:bookmarkEnd w:id="15"/>
    </w:p>
    <w:p w:rsidR="00025428" w:rsidRDefault="00025428" w:rsidP="00025428">
      <w:pPr>
        <w:jc w:val="center"/>
        <w:rPr>
          <w:rFonts w:asciiTheme="majorHAnsi" w:eastAsiaTheme="majorEastAsia" w:hAnsiTheme="majorHAnsi" w:cstheme="majorBidi"/>
          <w:b/>
          <w:bCs/>
          <w:iCs/>
          <w:spacing w:val="15"/>
          <w:sz w:val="26"/>
          <w:szCs w:val="26"/>
        </w:rPr>
      </w:pPr>
    </w:p>
    <w:p w:rsidR="008F2E0B" w:rsidRDefault="008F2E0B" w:rsidP="008F2E0B">
      <w:pPr>
        <w:pStyle w:val="BodyText"/>
        <w:spacing w:after="120"/>
        <w:ind w:left="0" w:firstLine="567"/>
        <w:rPr>
          <w:szCs w:val="26"/>
        </w:rPr>
      </w:pPr>
      <w:r>
        <w:rPr>
          <w:szCs w:val="26"/>
        </w:rPr>
        <w:t xml:space="preserve">A hypothetical example is being provided of an invoice received by APUC for services to be allocated to its subsidiaries. </w:t>
      </w:r>
      <w:proofErr w:type="gramStart"/>
      <w:r>
        <w:rPr>
          <w:szCs w:val="26"/>
        </w:rPr>
        <w:t xml:space="preserve">The below diagram is intended to visually communicate APUC’s allocation to </w:t>
      </w:r>
      <w:proofErr w:type="spellStart"/>
      <w:r>
        <w:rPr>
          <w:szCs w:val="26"/>
        </w:rPr>
        <w:t>APCo</w:t>
      </w:r>
      <w:proofErr w:type="spellEnd"/>
      <w:r>
        <w:rPr>
          <w:szCs w:val="26"/>
        </w:rPr>
        <w:t xml:space="preserve"> and Liberty Utilities.</w:t>
      </w:r>
      <w:proofErr w:type="gramEnd"/>
    </w:p>
    <w:p w:rsidR="008F2E0B" w:rsidRDefault="00211D74" w:rsidP="008F2E0B">
      <w:pPr>
        <w:pStyle w:val="BodyText"/>
        <w:spacing w:after="120"/>
        <w:ind w:left="0" w:firstLine="567"/>
        <w:rPr>
          <w:szCs w:val="26"/>
        </w:rPr>
      </w:pPr>
      <w:r>
        <w:rPr>
          <w:noProof/>
        </w:rPr>
        <w:drawing>
          <wp:inline distT="0" distB="0" distL="0" distR="0">
            <wp:extent cx="5715000" cy="498919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7" cstate="print"/>
                    <a:srcRect/>
                    <a:stretch>
                      <a:fillRect/>
                    </a:stretch>
                  </pic:blipFill>
                  <pic:spPr bwMode="auto">
                    <a:xfrm>
                      <a:off x="0" y="0"/>
                      <a:ext cx="5715000" cy="4989195"/>
                    </a:xfrm>
                    <a:prstGeom prst="rect">
                      <a:avLst/>
                    </a:prstGeom>
                    <a:noFill/>
                    <a:ln w="9525">
                      <a:noFill/>
                      <a:miter lim="800000"/>
                      <a:headEnd/>
                      <a:tailEnd/>
                    </a:ln>
                  </pic:spPr>
                </pic:pic>
              </a:graphicData>
            </a:graphic>
          </wp:inline>
        </w:drawing>
      </w:r>
    </w:p>
    <w:p w:rsidR="00025428" w:rsidRPr="00025428" w:rsidRDefault="00025428" w:rsidP="00025428">
      <w:pPr>
        <w:rPr>
          <w:rFonts w:asciiTheme="majorHAnsi" w:eastAsiaTheme="majorEastAsia" w:hAnsiTheme="majorHAnsi" w:cstheme="majorBidi"/>
          <w:bCs/>
          <w:iCs/>
          <w:spacing w:val="15"/>
          <w:sz w:val="26"/>
          <w:szCs w:val="26"/>
        </w:rPr>
      </w:pPr>
    </w:p>
    <w:p w:rsidR="00025428" w:rsidRDefault="00025428">
      <w:pPr>
        <w:rPr>
          <w:rFonts w:asciiTheme="majorHAnsi" w:eastAsiaTheme="majorEastAsia" w:hAnsiTheme="majorHAnsi" w:cstheme="majorBidi"/>
          <w:b/>
          <w:bCs/>
          <w:iCs/>
          <w:spacing w:val="15"/>
          <w:sz w:val="26"/>
          <w:szCs w:val="26"/>
        </w:rPr>
      </w:pPr>
      <w:r>
        <w:rPr>
          <w:rFonts w:asciiTheme="majorHAnsi" w:eastAsiaTheme="majorEastAsia" w:hAnsiTheme="majorHAnsi" w:cstheme="majorBidi"/>
          <w:b/>
          <w:bCs/>
          <w:iCs/>
          <w:spacing w:val="15"/>
          <w:sz w:val="26"/>
          <w:szCs w:val="26"/>
        </w:rPr>
        <w:br w:type="page"/>
      </w:r>
    </w:p>
    <w:p w:rsidR="009B7E82" w:rsidRPr="009B7E82" w:rsidRDefault="009B7E82" w:rsidP="00F949F8">
      <w:pPr>
        <w:pStyle w:val="Subtitle"/>
      </w:pPr>
      <w:bookmarkStart w:id="16" w:name="_Toc310250968"/>
      <w:r>
        <w:t xml:space="preserve">APPENDIX </w:t>
      </w:r>
      <w:r w:rsidR="00025428">
        <w:t xml:space="preserve">4 </w:t>
      </w:r>
      <w:r>
        <w:t xml:space="preserve">– </w:t>
      </w:r>
      <w:r w:rsidR="00F949F8">
        <w:t>LABOR</w:t>
      </w:r>
      <w:r>
        <w:t xml:space="preserve"> ALLCOATION EXAMPLE</w:t>
      </w:r>
      <w:bookmarkEnd w:id="16"/>
    </w:p>
    <w:p w:rsidR="009B7E82" w:rsidRDefault="009B7E82">
      <w:pPr>
        <w:rPr>
          <w:rFonts w:asciiTheme="majorHAnsi" w:eastAsiaTheme="majorEastAsia" w:hAnsiTheme="majorHAnsi" w:cstheme="majorBidi"/>
          <w:b/>
          <w:bCs/>
          <w:i/>
          <w:iCs/>
          <w:color w:val="4F81BD" w:themeColor="accent1"/>
          <w:spacing w:val="15"/>
          <w:sz w:val="26"/>
          <w:szCs w:val="26"/>
        </w:rPr>
      </w:pPr>
    </w:p>
    <w:p w:rsidR="008F2E0B" w:rsidRDefault="008F2E0B" w:rsidP="008F2E0B">
      <w:pPr>
        <w:ind w:firstLine="720"/>
        <w:jc w:val="both"/>
        <w:rPr>
          <w:sz w:val="26"/>
          <w:szCs w:val="26"/>
        </w:rPr>
      </w:pPr>
      <w:r>
        <w:rPr>
          <w:sz w:val="26"/>
          <w:szCs w:val="26"/>
        </w:rPr>
        <w:t>The following simplified example demonstrates how an APUC employee’s labor costs would be allocated to the regulated utilities:</w:t>
      </w:r>
    </w:p>
    <w:p w:rsidR="008F2E0B" w:rsidRDefault="008F2E0B" w:rsidP="008F2E0B">
      <w:pPr>
        <w:rPr>
          <w:sz w:val="26"/>
          <w:szCs w:val="26"/>
        </w:rPr>
      </w:pPr>
    </w:p>
    <w:p w:rsidR="008F2E0B" w:rsidRDefault="008F2E0B" w:rsidP="008F2E0B"/>
    <w:p w:rsidR="008F2E0B" w:rsidRDefault="008F2E0B" w:rsidP="008F2E0B"/>
    <w:p w:rsidR="008F2E0B" w:rsidRDefault="008F2E0B" w:rsidP="008F2E0B"/>
    <w:p w:rsidR="008F2E0B" w:rsidRDefault="008F2E0B" w:rsidP="008F2E0B"/>
    <w:p w:rsidR="00AE726F" w:rsidRDefault="008F2E0B">
      <w:pPr>
        <w:rPr>
          <w:rFonts w:asciiTheme="majorHAnsi" w:eastAsiaTheme="majorEastAsia" w:hAnsiTheme="majorHAnsi" w:cstheme="majorBidi"/>
          <w:b/>
          <w:bCs/>
          <w:i/>
          <w:iCs/>
          <w:color w:val="4F81BD" w:themeColor="accent1"/>
          <w:spacing w:val="15"/>
          <w:sz w:val="26"/>
          <w:szCs w:val="26"/>
        </w:rPr>
      </w:pPr>
      <w:r>
        <w:object w:dxaOrig="8851" w:dyaOrig="6697">
          <v:shape id="_x0000_i1025" type="#_x0000_t75" style="width:440.6pt;height:334.9pt" o:ole="">
            <v:imagedata r:id="rId28" o:title=""/>
          </v:shape>
          <o:OLEObject Type="Embed" ProgID="Visio.Drawing.6" ShapeID="_x0000_i1025" DrawAspect="Content" ObjectID="_1408773260" r:id="rId29"/>
        </w:object>
      </w:r>
    </w:p>
    <w:p w:rsidR="00875CB2" w:rsidRPr="00AE726F" w:rsidRDefault="00875CB2" w:rsidP="00875CB2">
      <w:pPr>
        <w:rPr>
          <w:b/>
        </w:rPr>
      </w:pPr>
    </w:p>
    <w:sectPr w:rsidR="00875CB2" w:rsidRPr="00AE726F" w:rsidSect="0023148A">
      <w:headerReference w:type="default" r:id="rId30"/>
      <w:pgSz w:w="12240" w:h="15840"/>
      <w:pgMar w:top="1440" w:right="180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31E" w:rsidRDefault="00AA331E">
      <w:r>
        <w:separator/>
      </w:r>
    </w:p>
  </w:endnote>
  <w:endnote w:type="continuationSeparator" w:id="0">
    <w:p w:rsidR="00AA331E" w:rsidRDefault="00AA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3" w:rsidRDefault="00F21F84" w:rsidP="00B06247">
    <w:pPr>
      <w:pStyle w:val="Footer"/>
      <w:framePr w:wrap="around" w:vAnchor="text" w:hAnchor="margin" w:xAlign="center" w:y="1"/>
      <w:rPr>
        <w:rStyle w:val="PageNumber"/>
      </w:rPr>
    </w:pPr>
    <w:r>
      <w:rPr>
        <w:rStyle w:val="PageNumber"/>
      </w:rPr>
      <w:fldChar w:fldCharType="begin"/>
    </w:r>
    <w:r w:rsidR="002F5743">
      <w:rPr>
        <w:rStyle w:val="PageNumber"/>
      </w:rPr>
      <w:instrText xml:space="preserve">PAGE  </w:instrText>
    </w:r>
    <w:r>
      <w:rPr>
        <w:rStyle w:val="PageNumber"/>
      </w:rPr>
      <w:fldChar w:fldCharType="end"/>
    </w:r>
  </w:p>
  <w:p w:rsidR="002F5743" w:rsidRDefault="002F57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3166652"/>
      <w:docPartObj>
        <w:docPartGallery w:val="Page Numbers (Bottom of Page)"/>
        <w:docPartUnique/>
      </w:docPartObj>
    </w:sdtPr>
    <w:sdtEndPr/>
    <w:sdtContent>
      <w:p w:rsidR="002F5743" w:rsidRDefault="00F21F84">
        <w:pPr>
          <w:pStyle w:val="Footer"/>
          <w:jc w:val="right"/>
        </w:pPr>
        <w:r>
          <w:fldChar w:fldCharType="begin"/>
        </w:r>
        <w:r w:rsidR="008D1C61">
          <w:instrText xml:space="preserve"> PAGE   \* MERGEFORMAT </w:instrText>
        </w:r>
        <w:r>
          <w:fldChar w:fldCharType="separate"/>
        </w:r>
        <w:r w:rsidR="00BF084E">
          <w:rPr>
            <w:noProof/>
          </w:rPr>
          <w:t>20</w:t>
        </w:r>
        <w:r>
          <w:rPr>
            <w:noProof/>
          </w:rPr>
          <w:fldChar w:fldCharType="end"/>
        </w:r>
      </w:p>
    </w:sdtContent>
  </w:sdt>
  <w:p w:rsidR="002F5743" w:rsidRDefault="002F57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3" w:rsidRDefault="002F5743" w:rsidP="003F7EA1">
    <w:pPr>
      <w:pStyle w:val="Footer"/>
      <w:jc w:val="right"/>
    </w:pPr>
    <w:r>
      <w:tab/>
    </w:r>
    <w:r>
      <w:tab/>
    </w:r>
  </w:p>
  <w:p w:rsidR="002F5743" w:rsidRDefault="002F5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31E" w:rsidRDefault="00AA331E">
      <w:r>
        <w:separator/>
      </w:r>
    </w:p>
  </w:footnote>
  <w:footnote w:type="continuationSeparator" w:id="0">
    <w:p w:rsidR="00AA331E" w:rsidRDefault="00AA3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3" w:rsidRDefault="002F5743" w:rsidP="009842E1">
    <w:pPr>
      <w:jc w:val="right"/>
      <w:rPr>
        <w:b/>
        <w:i/>
        <w:sz w:val="26"/>
        <w:szCs w:val="26"/>
      </w:rPr>
    </w:pPr>
    <w:r>
      <w:rPr>
        <w:b/>
        <w:i/>
        <w:sz w:val="26"/>
        <w:szCs w:val="26"/>
      </w:rPr>
      <w:t xml:space="preserve">                                                             ALGONQUIN POWER &amp; UTILITIES CORP. </w:t>
    </w:r>
    <w:r w:rsidRPr="009C45CD">
      <w:rPr>
        <w:b/>
        <w:i/>
        <w:sz w:val="26"/>
        <w:szCs w:val="26"/>
      </w:rPr>
      <w:t xml:space="preserve"> </w:t>
    </w:r>
  </w:p>
  <w:p w:rsidR="002F5743" w:rsidRPr="009C45CD" w:rsidRDefault="002F5743" w:rsidP="00D30F98">
    <w:pPr>
      <w:jc w:val="right"/>
      <w:rPr>
        <w:i/>
        <w:sz w:val="26"/>
        <w:szCs w:val="26"/>
      </w:rPr>
    </w:pPr>
    <w:r w:rsidRPr="009C45CD">
      <w:rPr>
        <w:b/>
        <w:i/>
        <w:sz w:val="26"/>
        <w:szCs w:val="26"/>
      </w:rPr>
      <w:t>COST ALLOCATION M</w:t>
    </w:r>
    <w:r>
      <w:rPr>
        <w:b/>
        <w:i/>
        <w:sz w:val="26"/>
        <w:szCs w:val="26"/>
      </w:rPr>
      <w:t>ANUAL</w:t>
    </w:r>
    <w:r w:rsidRPr="009C45CD">
      <w:rPr>
        <w:b/>
        <w:i/>
        <w:sz w:val="26"/>
        <w:szCs w:val="26"/>
      </w:rPr>
      <w:t xml:space="preserve"> </w:t>
    </w:r>
  </w:p>
  <w:p w:rsidR="002F5743" w:rsidRDefault="002F5743" w:rsidP="00D30F98">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3" w:rsidRPr="00BD1EFB" w:rsidRDefault="002F5743" w:rsidP="00BD1EFB">
    <w:pPr>
      <w:pStyle w:val="Header"/>
      <w:jc w:val="right"/>
      <w:rPr>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5743" w:rsidRDefault="002F5743" w:rsidP="003F7EA1">
    <w:pPr>
      <w:rPr>
        <w:b/>
        <w:i/>
        <w:sz w:val="26"/>
        <w:szCs w:val="26"/>
      </w:rPr>
    </w:pPr>
    <w:r>
      <w:rPr>
        <w:b/>
        <w:i/>
        <w:sz w:val="26"/>
        <w:szCs w:val="26"/>
      </w:rPr>
      <w:t xml:space="preserve">                                                                  </w:t>
    </w:r>
    <w:r>
      <w:rPr>
        <w:b/>
        <w:i/>
        <w:sz w:val="26"/>
        <w:szCs w:val="26"/>
      </w:rPr>
      <w:tab/>
      <w:t xml:space="preserve">                                                                            ALGONQUIN POWER &amp; UTILITIES CORP. </w:t>
    </w:r>
    <w:r w:rsidRPr="009C45CD">
      <w:rPr>
        <w:b/>
        <w:i/>
        <w:sz w:val="26"/>
        <w:szCs w:val="26"/>
      </w:rPr>
      <w:t xml:space="preserve"> </w:t>
    </w:r>
  </w:p>
  <w:p w:rsidR="002F5743" w:rsidRPr="009C45CD" w:rsidRDefault="002F5743" w:rsidP="00D30F98">
    <w:pPr>
      <w:jc w:val="right"/>
      <w:rPr>
        <w:i/>
        <w:sz w:val="26"/>
        <w:szCs w:val="26"/>
      </w:rPr>
    </w:pPr>
    <w:r w:rsidRPr="009C45CD">
      <w:rPr>
        <w:b/>
        <w:i/>
        <w:sz w:val="26"/>
        <w:szCs w:val="26"/>
      </w:rPr>
      <w:t>COST ALLOCATION M</w:t>
    </w:r>
    <w:r>
      <w:rPr>
        <w:b/>
        <w:i/>
        <w:sz w:val="26"/>
        <w:szCs w:val="26"/>
      </w:rPr>
      <w:t>ANUAL</w:t>
    </w:r>
    <w:r w:rsidRPr="009C45CD">
      <w:rPr>
        <w:b/>
        <w:i/>
        <w:sz w:val="26"/>
        <w:szCs w:val="26"/>
      </w:rPr>
      <w:t xml:space="preserve"> </w:t>
    </w:r>
  </w:p>
  <w:p w:rsidR="002F5743" w:rsidRDefault="002F5743" w:rsidP="00D30F9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Description: C:\Users\peichler\Pictures\top_nav_r1_c1.jpg" style="width:208.05pt;height:70pt;visibility:visible;mso-wrap-style:square" o:bullet="t">
        <v:imagedata r:id="rId1" o:title="top_nav_r1_c1"/>
      </v:shape>
    </w:pict>
  </w:numPicBullet>
  <w:numPicBullet w:numPicBulletId="1">
    <w:pict>
      <v:shape id="_x0000_i1030" type="#_x0000_t75" alt="Description: C:\Users\peichler\Pictures\LW_T_RGB_H_digital(modified).jpg" style="width:107pt;height:31.05pt;visibility:visible;mso-wrap-style:square" o:bullet="t">
        <v:imagedata r:id="rId2" o:title="LW_T_RGB_H_digital(modified)"/>
      </v:shape>
    </w:pict>
  </w:numPicBullet>
  <w:numPicBullet w:numPicBulletId="2">
    <w:pict>
      <v:shape id="_x0000_i1031" type="#_x0000_t75" alt="Description: LU_H_RGB_digital (2)" style="width:397pt;height:79.95pt;visibility:visible;mso-wrap-style:square" o:bullet="t">
        <v:imagedata r:id="rId3" o:title="LU_H_RGB_digital (2)"/>
      </v:shape>
    </w:pict>
  </w:numPicBullet>
  <w:abstractNum w:abstractNumId="0">
    <w:nsid w:val="FFFFFFFE"/>
    <w:multiLevelType w:val="singleLevel"/>
    <w:tmpl w:val="B9D4AB1E"/>
    <w:lvl w:ilvl="0">
      <w:numFmt w:val="bullet"/>
      <w:lvlText w:val="*"/>
      <w:lvlJc w:val="left"/>
    </w:lvl>
  </w:abstractNum>
  <w:abstractNum w:abstractNumId="1">
    <w:nsid w:val="01BC3989"/>
    <w:multiLevelType w:val="hybridMultilevel"/>
    <w:tmpl w:val="C39817E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8862F41"/>
    <w:multiLevelType w:val="hybridMultilevel"/>
    <w:tmpl w:val="A2F89476"/>
    <w:lvl w:ilvl="0" w:tplc="E2964A76">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nsid w:val="09A645D7"/>
    <w:multiLevelType w:val="hybridMultilevel"/>
    <w:tmpl w:val="FE140028"/>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B87725B"/>
    <w:multiLevelType w:val="hybridMultilevel"/>
    <w:tmpl w:val="CB5ACAEE"/>
    <w:lvl w:ilvl="0" w:tplc="1009000F">
      <w:start w:val="1"/>
      <w:numFmt w:val="decimal"/>
      <w:lvlText w:val="%1."/>
      <w:lvlJc w:val="left"/>
      <w:pPr>
        <w:ind w:left="1571" w:hanging="360"/>
      </w:pPr>
    </w:lvl>
    <w:lvl w:ilvl="1" w:tplc="10090019" w:tentative="1">
      <w:start w:val="1"/>
      <w:numFmt w:val="lowerLetter"/>
      <w:lvlText w:val="%2."/>
      <w:lvlJc w:val="left"/>
      <w:pPr>
        <w:ind w:left="2291" w:hanging="360"/>
      </w:pPr>
    </w:lvl>
    <w:lvl w:ilvl="2" w:tplc="1009001B" w:tentative="1">
      <w:start w:val="1"/>
      <w:numFmt w:val="lowerRoman"/>
      <w:lvlText w:val="%3."/>
      <w:lvlJc w:val="right"/>
      <w:pPr>
        <w:ind w:left="3011" w:hanging="180"/>
      </w:pPr>
    </w:lvl>
    <w:lvl w:ilvl="3" w:tplc="1009000F" w:tentative="1">
      <w:start w:val="1"/>
      <w:numFmt w:val="decimal"/>
      <w:lvlText w:val="%4."/>
      <w:lvlJc w:val="left"/>
      <w:pPr>
        <w:ind w:left="3731" w:hanging="360"/>
      </w:pPr>
    </w:lvl>
    <w:lvl w:ilvl="4" w:tplc="10090019" w:tentative="1">
      <w:start w:val="1"/>
      <w:numFmt w:val="lowerLetter"/>
      <w:lvlText w:val="%5."/>
      <w:lvlJc w:val="left"/>
      <w:pPr>
        <w:ind w:left="4451" w:hanging="360"/>
      </w:pPr>
    </w:lvl>
    <w:lvl w:ilvl="5" w:tplc="1009001B" w:tentative="1">
      <w:start w:val="1"/>
      <w:numFmt w:val="lowerRoman"/>
      <w:lvlText w:val="%6."/>
      <w:lvlJc w:val="right"/>
      <w:pPr>
        <w:ind w:left="5171" w:hanging="180"/>
      </w:pPr>
    </w:lvl>
    <w:lvl w:ilvl="6" w:tplc="1009000F" w:tentative="1">
      <w:start w:val="1"/>
      <w:numFmt w:val="decimal"/>
      <w:lvlText w:val="%7."/>
      <w:lvlJc w:val="left"/>
      <w:pPr>
        <w:ind w:left="5891" w:hanging="360"/>
      </w:pPr>
    </w:lvl>
    <w:lvl w:ilvl="7" w:tplc="10090019" w:tentative="1">
      <w:start w:val="1"/>
      <w:numFmt w:val="lowerLetter"/>
      <w:lvlText w:val="%8."/>
      <w:lvlJc w:val="left"/>
      <w:pPr>
        <w:ind w:left="6611" w:hanging="360"/>
      </w:pPr>
    </w:lvl>
    <w:lvl w:ilvl="8" w:tplc="1009001B" w:tentative="1">
      <w:start w:val="1"/>
      <w:numFmt w:val="lowerRoman"/>
      <w:lvlText w:val="%9."/>
      <w:lvlJc w:val="right"/>
      <w:pPr>
        <w:ind w:left="7331" w:hanging="180"/>
      </w:pPr>
    </w:lvl>
  </w:abstractNum>
  <w:abstractNum w:abstractNumId="5">
    <w:nsid w:val="0DFE0B5D"/>
    <w:multiLevelType w:val="hybridMultilevel"/>
    <w:tmpl w:val="F9F25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96F57"/>
    <w:multiLevelType w:val="hybridMultilevel"/>
    <w:tmpl w:val="505681AC"/>
    <w:lvl w:ilvl="0" w:tplc="2F30C41C">
      <w:start w:val="1"/>
      <w:numFmt w:val="upperLetter"/>
      <w:lvlText w:val="%1."/>
      <w:lvlJc w:val="left"/>
      <w:pPr>
        <w:ind w:left="4471"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135D0BAC"/>
    <w:multiLevelType w:val="hybridMultilevel"/>
    <w:tmpl w:val="E2E070E0"/>
    <w:lvl w:ilvl="0" w:tplc="24C863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166F78"/>
    <w:multiLevelType w:val="hybridMultilevel"/>
    <w:tmpl w:val="4C605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BD208F"/>
    <w:multiLevelType w:val="hybridMultilevel"/>
    <w:tmpl w:val="3B7A2916"/>
    <w:lvl w:ilvl="0" w:tplc="0409001B">
      <w:start w:val="1"/>
      <w:numFmt w:val="lowerRoman"/>
      <w:lvlText w:val="%1."/>
      <w:lvlJc w:val="righ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0">
    <w:nsid w:val="295D04B5"/>
    <w:multiLevelType w:val="hybridMultilevel"/>
    <w:tmpl w:val="9CD410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22D2E30"/>
    <w:multiLevelType w:val="hybridMultilevel"/>
    <w:tmpl w:val="00869412"/>
    <w:lvl w:ilvl="0" w:tplc="397C963C">
      <w:start w:val="1"/>
      <w:numFmt w:val="upperLetter"/>
      <w:lvlText w:val="%1."/>
      <w:lvlJc w:val="left"/>
      <w:pPr>
        <w:ind w:left="717" w:hanging="360"/>
      </w:pPr>
      <w:rPr>
        <w:rFonts w:hint="default"/>
      </w:rPr>
    </w:lvl>
    <w:lvl w:ilvl="1" w:tplc="10090019" w:tentative="1">
      <w:start w:val="1"/>
      <w:numFmt w:val="lowerLetter"/>
      <w:lvlText w:val="%2."/>
      <w:lvlJc w:val="left"/>
      <w:pPr>
        <w:ind w:left="1437" w:hanging="360"/>
      </w:pPr>
    </w:lvl>
    <w:lvl w:ilvl="2" w:tplc="1009001B" w:tentative="1">
      <w:start w:val="1"/>
      <w:numFmt w:val="lowerRoman"/>
      <w:lvlText w:val="%3."/>
      <w:lvlJc w:val="right"/>
      <w:pPr>
        <w:ind w:left="2157" w:hanging="180"/>
      </w:pPr>
    </w:lvl>
    <w:lvl w:ilvl="3" w:tplc="1009000F" w:tentative="1">
      <w:start w:val="1"/>
      <w:numFmt w:val="decimal"/>
      <w:lvlText w:val="%4."/>
      <w:lvlJc w:val="left"/>
      <w:pPr>
        <w:ind w:left="2877" w:hanging="360"/>
      </w:pPr>
    </w:lvl>
    <w:lvl w:ilvl="4" w:tplc="10090019" w:tentative="1">
      <w:start w:val="1"/>
      <w:numFmt w:val="lowerLetter"/>
      <w:lvlText w:val="%5."/>
      <w:lvlJc w:val="left"/>
      <w:pPr>
        <w:ind w:left="3597" w:hanging="360"/>
      </w:pPr>
    </w:lvl>
    <w:lvl w:ilvl="5" w:tplc="1009001B" w:tentative="1">
      <w:start w:val="1"/>
      <w:numFmt w:val="lowerRoman"/>
      <w:lvlText w:val="%6."/>
      <w:lvlJc w:val="right"/>
      <w:pPr>
        <w:ind w:left="4317" w:hanging="180"/>
      </w:pPr>
    </w:lvl>
    <w:lvl w:ilvl="6" w:tplc="1009000F" w:tentative="1">
      <w:start w:val="1"/>
      <w:numFmt w:val="decimal"/>
      <w:lvlText w:val="%7."/>
      <w:lvlJc w:val="left"/>
      <w:pPr>
        <w:ind w:left="5037" w:hanging="360"/>
      </w:pPr>
    </w:lvl>
    <w:lvl w:ilvl="7" w:tplc="10090019" w:tentative="1">
      <w:start w:val="1"/>
      <w:numFmt w:val="lowerLetter"/>
      <w:lvlText w:val="%8."/>
      <w:lvlJc w:val="left"/>
      <w:pPr>
        <w:ind w:left="5757" w:hanging="360"/>
      </w:pPr>
    </w:lvl>
    <w:lvl w:ilvl="8" w:tplc="1009001B" w:tentative="1">
      <w:start w:val="1"/>
      <w:numFmt w:val="lowerRoman"/>
      <w:lvlText w:val="%9."/>
      <w:lvlJc w:val="right"/>
      <w:pPr>
        <w:ind w:left="6477" w:hanging="180"/>
      </w:pPr>
    </w:lvl>
  </w:abstractNum>
  <w:abstractNum w:abstractNumId="12">
    <w:nsid w:val="342362D8"/>
    <w:multiLevelType w:val="hybridMultilevel"/>
    <w:tmpl w:val="E5A45C0C"/>
    <w:lvl w:ilvl="0" w:tplc="FBDCC270">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B4F009B"/>
    <w:multiLevelType w:val="hybridMultilevel"/>
    <w:tmpl w:val="E8EEACA0"/>
    <w:lvl w:ilvl="0" w:tplc="05B40D88">
      <w:start w:val="1"/>
      <w:numFmt w:val="bullet"/>
      <w:lvlText w:val=""/>
      <w:lvlPicBulletId w:val="0"/>
      <w:lvlJc w:val="left"/>
      <w:pPr>
        <w:tabs>
          <w:tab w:val="num" w:pos="720"/>
        </w:tabs>
        <w:ind w:left="720" w:hanging="360"/>
      </w:pPr>
      <w:rPr>
        <w:rFonts w:ascii="Symbol" w:hAnsi="Symbol" w:hint="default"/>
      </w:rPr>
    </w:lvl>
    <w:lvl w:ilvl="1" w:tplc="89AAE924" w:tentative="1">
      <w:start w:val="1"/>
      <w:numFmt w:val="bullet"/>
      <w:lvlText w:val=""/>
      <w:lvlJc w:val="left"/>
      <w:pPr>
        <w:tabs>
          <w:tab w:val="num" w:pos="1440"/>
        </w:tabs>
        <w:ind w:left="1440" w:hanging="360"/>
      </w:pPr>
      <w:rPr>
        <w:rFonts w:ascii="Symbol" w:hAnsi="Symbol" w:hint="default"/>
      </w:rPr>
    </w:lvl>
    <w:lvl w:ilvl="2" w:tplc="C2FCB496" w:tentative="1">
      <w:start w:val="1"/>
      <w:numFmt w:val="bullet"/>
      <w:lvlText w:val=""/>
      <w:lvlJc w:val="left"/>
      <w:pPr>
        <w:tabs>
          <w:tab w:val="num" w:pos="2160"/>
        </w:tabs>
        <w:ind w:left="2160" w:hanging="360"/>
      </w:pPr>
      <w:rPr>
        <w:rFonts w:ascii="Symbol" w:hAnsi="Symbol" w:hint="default"/>
      </w:rPr>
    </w:lvl>
    <w:lvl w:ilvl="3" w:tplc="6FB01658" w:tentative="1">
      <w:start w:val="1"/>
      <w:numFmt w:val="bullet"/>
      <w:lvlText w:val=""/>
      <w:lvlJc w:val="left"/>
      <w:pPr>
        <w:tabs>
          <w:tab w:val="num" w:pos="2880"/>
        </w:tabs>
        <w:ind w:left="2880" w:hanging="360"/>
      </w:pPr>
      <w:rPr>
        <w:rFonts w:ascii="Symbol" w:hAnsi="Symbol" w:hint="default"/>
      </w:rPr>
    </w:lvl>
    <w:lvl w:ilvl="4" w:tplc="931E561E" w:tentative="1">
      <w:start w:val="1"/>
      <w:numFmt w:val="bullet"/>
      <w:lvlText w:val=""/>
      <w:lvlJc w:val="left"/>
      <w:pPr>
        <w:tabs>
          <w:tab w:val="num" w:pos="3600"/>
        </w:tabs>
        <w:ind w:left="3600" w:hanging="360"/>
      </w:pPr>
      <w:rPr>
        <w:rFonts w:ascii="Symbol" w:hAnsi="Symbol" w:hint="default"/>
      </w:rPr>
    </w:lvl>
    <w:lvl w:ilvl="5" w:tplc="51DE2516" w:tentative="1">
      <w:start w:val="1"/>
      <w:numFmt w:val="bullet"/>
      <w:lvlText w:val=""/>
      <w:lvlJc w:val="left"/>
      <w:pPr>
        <w:tabs>
          <w:tab w:val="num" w:pos="4320"/>
        </w:tabs>
        <w:ind w:left="4320" w:hanging="360"/>
      </w:pPr>
      <w:rPr>
        <w:rFonts w:ascii="Symbol" w:hAnsi="Symbol" w:hint="default"/>
      </w:rPr>
    </w:lvl>
    <w:lvl w:ilvl="6" w:tplc="473E7FD6" w:tentative="1">
      <w:start w:val="1"/>
      <w:numFmt w:val="bullet"/>
      <w:lvlText w:val=""/>
      <w:lvlJc w:val="left"/>
      <w:pPr>
        <w:tabs>
          <w:tab w:val="num" w:pos="5040"/>
        </w:tabs>
        <w:ind w:left="5040" w:hanging="360"/>
      </w:pPr>
      <w:rPr>
        <w:rFonts w:ascii="Symbol" w:hAnsi="Symbol" w:hint="default"/>
      </w:rPr>
    </w:lvl>
    <w:lvl w:ilvl="7" w:tplc="C096D8B6" w:tentative="1">
      <w:start w:val="1"/>
      <w:numFmt w:val="bullet"/>
      <w:lvlText w:val=""/>
      <w:lvlJc w:val="left"/>
      <w:pPr>
        <w:tabs>
          <w:tab w:val="num" w:pos="5760"/>
        </w:tabs>
        <w:ind w:left="5760" w:hanging="360"/>
      </w:pPr>
      <w:rPr>
        <w:rFonts w:ascii="Symbol" w:hAnsi="Symbol" w:hint="default"/>
      </w:rPr>
    </w:lvl>
    <w:lvl w:ilvl="8" w:tplc="6EBC9340" w:tentative="1">
      <w:start w:val="1"/>
      <w:numFmt w:val="bullet"/>
      <w:lvlText w:val=""/>
      <w:lvlJc w:val="left"/>
      <w:pPr>
        <w:tabs>
          <w:tab w:val="num" w:pos="6480"/>
        </w:tabs>
        <w:ind w:left="6480" w:hanging="360"/>
      </w:pPr>
      <w:rPr>
        <w:rFonts w:ascii="Symbol" w:hAnsi="Symbol" w:hint="default"/>
      </w:rPr>
    </w:lvl>
  </w:abstractNum>
  <w:abstractNum w:abstractNumId="14">
    <w:nsid w:val="44D02911"/>
    <w:multiLevelType w:val="hybridMultilevel"/>
    <w:tmpl w:val="70247C00"/>
    <w:lvl w:ilvl="0" w:tplc="10090019">
      <w:start w:val="1"/>
      <w:numFmt w:val="lowerLetter"/>
      <w:lvlText w:val="%1."/>
      <w:lvlJc w:val="left"/>
      <w:pPr>
        <w:ind w:left="861" w:hanging="360"/>
      </w:pPr>
      <w:rPr>
        <w:rFonts w:hint="default"/>
      </w:rPr>
    </w:lvl>
    <w:lvl w:ilvl="1" w:tplc="10090019" w:tentative="1">
      <w:start w:val="1"/>
      <w:numFmt w:val="lowerLetter"/>
      <w:lvlText w:val="%2."/>
      <w:lvlJc w:val="left"/>
      <w:pPr>
        <w:ind w:left="1581" w:hanging="360"/>
      </w:pPr>
    </w:lvl>
    <w:lvl w:ilvl="2" w:tplc="1009001B" w:tentative="1">
      <w:start w:val="1"/>
      <w:numFmt w:val="lowerRoman"/>
      <w:lvlText w:val="%3."/>
      <w:lvlJc w:val="right"/>
      <w:pPr>
        <w:ind w:left="2301" w:hanging="180"/>
      </w:pPr>
    </w:lvl>
    <w:lvl w:ilvl="3" w:tplc="1009000F" w:tentative="1">
      <w:start w:val="1"/>
      <w:numFmt w:val="decimal"/>
      <w:lvlText w:val="%4."/>
      <w:lvlJc w:val="left"/>
      <w:pPr>
        <w:ind w:left="3021" w:hanging="360"/>
      </w:pPr>
    </w:lvl>
    <w:lvl w:ilvl="4" w:tplc="10090019" w:tentative="1">
      <w:start w:val="1"/>
      <w:numFmt w:val="lowerLetter"/>
      <w:lvlText w:val="%5."/>
      <w:lvlJc w:val="left"/>
      <w:pPr>
        <w:ind w:left="3741" w:hanging="360"/>
      </w:pPr>
    </w:lvl>
    <w:lvl w:ilvl="5" w:tplc="1009001B" w:tentative="1">
      <w:start w:val="1"/>
      <w:numFmt w:val="lowerRoman"/>
      <w:lvlText w:val="%6."/>
      <w:lvlJc w:val="right"/>
      <w:pPr>
        <w:ind w:left="4461" w:hanging="180"/>
      </w:pPr>
    </w:lvl>
    <w:lvl w:ilvl="6" w:tplc="1009000F" w:tentative="1">
      <w:start w:val="1"/>
      <w:numFmt w:val="decimal"/>
      <w:lvlText w:val="%7."/>
      <w:lvlJc w:val="left"/>
      <w:pPr>
        <w:ind w:left="5181" w:hanging="360"/>
      </w:pPr>
    </w:lvl>
    <w:lvl w:ilvl="7" w:tplc="10090019" w:tentative="1">
      <w:start w:val="1"/>
      <w:numFmt w:val="lowerLetter"/>
      <w:lvlText w:val="%8."/>
      <w:lvlJc w:val="left"/>
      <w:pPr>
        <w:ind w:left="5901" w:hanging="360"/>
      </w:pPr>
    </w:lvl>
    <w:lvl w:ilvl="8" w:tplc="1009001B" w:tentative="1">
      <w:start w:val="1"/>
      <w:numFmt w:val="lowerRoman"/>
      <w:lvlText w:val="%9."/>
      <w:lvlJc w:val="right"/>
      <w:pPr>
        <w:ind w:left="6621" w:hanging="180"/>
      </w:pPr>
    </w:lvl>
  </w:abstractNum>
  <w:abstractNum w:abstractNumId="15">
    <w:nsid w:val="48E36BFE"/>
    <w:multiLevelType w:val="hybridMultilevel"/>
    <w:tmpl w:val="F9F255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ED5E4A"/>
    <w:multiLevelType w:val="hybridMultilevel"/>
    <w:tmpl w:val="71FEA006"/>
    <w:lvl w:ilvl="0" w:tplc="628AB384">
      <w:start w:val="1"/>
      <w:numFmt w:val="upperLetter"/>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0784A5A"/>
    <w:multiLevelType w:val="hybridMultilevel"/>
    <w:tmpl w:val="BEAC73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256D5B"/>
    <w:multiLevelType w:val="hybridMultilevel"/>
    <w:tmpl w:val="78FE1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60F4655"/>
    <w:multiLevelType w:val="hybridMultilevel"/>
    <w:tmpl w:val="3EAEF0D0"/>
    <w:lvl w:ilvl="0" w:tplc="109E042A">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568900E1"/>
    <w:multiLevelType w:val="hybridMultilevel"/>
    <w:tmpl w:val="CC6E17EC"/>
    <w:lvl w:ilvl="0" w:tplc="E33C30C2">
      <w:start w:val="1"/>
      <w:numFmt w:val="upperRoman"/>
      <w:lvlText w:val="%1."/>
      <w:lvlJc w:val="left"/>
      <w:pPr>
        <w:ind w:left="117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60026CAE"/>
    <w:multiLevelType w:val="hybridMultilevel"/>
    <w:tmpl w:val="B766612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6B572515"/>
    <w:multiLevelType w:val="hybridMultilevel"/>
    <w:tmpl w:val="9236852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F641D68"/>
    <w:multiLevelType w:val="hybridMultilevel"/>
    <w:tmpl w:val="B766612A"/>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6794FC0"/>
    <w:multiLevelType w:val="hybridMultilevel"/>
    <w:tmpl w:val="3EAEF0D0"/>
    <w:lvl w:ilvl="0" w:tplc="109E042A">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nsid w:val="7BE60527"/>
    <w:multiLevelType w:val="hybridMultilevel"/>
    <w:tmpl w:val="9CD410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E944F4D"/>
    <w:multiLevelType w:val="hybridMultilevel"/>
    <w:tmpl w:val="62E2F742"/>
    <w:lvl w:ilvl="0" w:tplc="4CA02D60">
      <w:start w:val="1"/>
      <w:numFmt w:val="upperRoman"/>
      <w:lvlText w:val="%1."/>
      <w:lvlJc w:val="left"/>
      <w:pPr>
        <w:ind w:left="1170" w:hanging="720"/>
      </w:pPr>
      <w:rPr>
        <w:rFonts w:hint="default"/>
        <w:strike w:val="0"/>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7"/>
  </w:num>
  <w:num w:numId="2">
    <w:abstractNumId w:val="8"/>
  </w:num>
  <w:num w:numId="3">
    <w:abstractNumId w:val="0"/>
    <w:lvlOverride w:ilvl="0">
      <w:lvl w:ilvl="0">
        <w:numFmt w:val="bullet"/>
        <w:lvlText w:val="•"/>
        <w:legacy w:legacy="1" w:legacySpace="0" w:legacyIndent="0"/>
        <w:lvlJc w:val="left"/>
        <w:rPr>
          <w:rFonts w:ascii="Arial" w:hAnsi="Arial" w:cs="Arial" w:hint="default"/>
          <w:sz w:val="28"/>
        </w:rPr>
      </w:lvl>
    </w:lvlOverride>
  </w:num>
  <w:num w:numId="4">
    <w:abstractNumId w:val="18"/>
  </w:num>
  <w:num w:numId="5">
    <w:abstractNumId w:val="16"/>
  </w:num>
  <w:num w:numId="6">
    <w:abstractNumId w:val="13"/>
  </w:num>
  <w:num w:numId="7">
    <w:abstractNumId w:val="26"/>
  </w:num>
  <w:num w:numId="8">
    <w:abstractNumId w:val="6"/>
  </w:num>
  <w:num w:numId="9">
    <w:abstractNumId w:val="24"/>
  </w:num>
  <w:num w:numId="10">
    <w:abstractNumId w:val="11"/>
  </w:num>
  <w:num w:numId="11">
    <w:abstractNumId w:val="19"/>
  </w:num>
  <w:num w:numId="12">
    <w:abstractNumId w:val="4"/>
  </w:num>
  <w:num w:numId="13">
    <w:abstractNumId w:val="1"/>
  </w:num>
  <w:num w:numId="14">
    <w:abstractNumId w:val="21"/>
  </w:num>
  <w:num w:numId="15">
    <w:abstractNumId w:val="14"/>
  </w:num>
  <w:num w:numId="16">
    <w:abstractNumId w:val="23"/>
  </w:num>
  <w:num w:numId="17">
    <w:abstractNumId w:val="2"/>
  </w:num>
  <w:num w:numId="18">
    <w:abstractNumId w:val="12"/>
  </w:num>
  <w:num w:numId="19">
    <w:abstractNumId w:val="5"/>
  </w:num>
  <w:num w:numId="20">
    <w:abstractNumId w:val="22"/>
  </w:num>
  <w:num w:numId="21">
    <w:abstractNumId w:val="3"/>
  </w:num>
  <w:num w:numId="22">
    <w:abstractNumId w:val="25"/>
  </w:num>
  <w:num w:numId="23">
    <w:abstractNumId w:val="10"/>
  </w:num>
  <w:num w:numId="24">
    <w:abstractNumId w:val="20"/>
  </w:num>
  <w:num w:numId="25">
    <w:abstractNumId w:val="7"/>
  </w:num>
  <w:num w:numId="26">
    <w:abstractNumId w:val="1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5052"/>
    <w:rsid w:val="00001179"/>
    <w:rsid w:val="00014F6B"/>
    <w:rsid w:val="00016F1E"/>
    <w:rsid w:val="00021296"/>
    <w:rsid w:val="0002448D"/>
    <w:rsid w:val="00024A42"/>
    <w:rsid w:val="00025428"/>
    <w:rsid w:val="000368C2"/>
    <w:rsid w:val="000369B0"/>
    <w:rsid w:val="00037F90"/>
    <w:rsid w:val="00050E66"/>
    <w:rsid w:val="00056700"/>
    <w:rsid w:val="00064727"/>
    <w:rsid w:val="00066005"/>
    <w:rsid w:val="00067ECF"/>
    <w:rsid w:val="000721C7"/>
    <w:rsid w:val="00075ED0"/>
    <w:rsid w:val="00094425"/>
    <w:rsid w:val="000971F6"/>
    <w:rsid w:val="00097BB6"/>
    <w:rsid w:val="000A0EB6"/>
    <w:rsid w:val="000A178F"/>
    <w:rsid w:val="000B078A"/>
    <w:rsid w:val="000B0D77"/>
    <w:rsid w:val="000B4126"/>
    <w:rsid w:val="000B59A4"/>
    <w:rsid w:val="000B697E"/>
    <w:rsid w:val="000B6FB4"/>
    <w:rsid w:val="000B7C38"/>
    <w:rsid w:val="000C7B7A"/>
    <w:rsid w:val="000D2B1A"/>
    <w:rsid w:val="000D5A99"/>
    <w:rsid w:val="000D6CD2"/>
    <w:rsid w:val="000E07C9"/>
    <w:rsid w:val="000E439B"/>
    <w:rsid w:val="000E6C2E"/>
    <w:rsid w:val="000F160E"/>
    <w:rsid w:val="000F1D3A"/>
    <w:rsid w:val="000F33A7"/>
    <w:rsid w:val="000F4DBA"/>
    <w:rsid w:val="000F6F24"/>
    <w:rsid w:val="00100932"/>
    <w:rsid w:val="00100AB4"/>
    <w:rsid w:val="00101CC8"/>
    <w:rsid w:val="0011495D"/>
    <w:rsid w:val="00115010"/>
    <w:rsid w:val="00121551"/>
    <w:rsid w:val="00121676"/>
    <w:rsid w:val="00122CB2"/>
    <w:rsid w:val="00127E78"/>
    <w:rsid w:val="00145968"/>
    <w:rsid w:val="00150E54"/>
    <w:rsid w:val="001550EF"/>
    <w:rsid w:val="00171AF8"/>
    <w:rsid w:val="001753A5"/>
    <w:rsid w:val="00177E3C"/>
    <w:rsid w:val="00182308"/>
    <w:rsid w:val="00182A0E"/>
    <w:rsid w:val="0018308A"/>
    <w:rsid w:val="00184A02"/>
    <w:rsid w:val="001A6B80"/>
    <w:rsid w:val="001A73D8"/>
    <w:rsid w:val="001B0CEB"/>
    <w:rsid w:val="001C4E30"/>
    <w:rsid w:val="001C784C"/>
    <w:rsid w:val="001D082E"/>
    <w:rsid w:val="001D3D38"/>
    <w:rsid w:val="001D407D"/>
    <w:rsid w:val="001E1DE6"/>
    <w:rsid w:val="001E33CE"/>
    <w:rsid w:val="001E509D"/>
    <w:rsid w:val="001E7549"/>
    <w:rsid w:val="001F5E5E"/>
    <w:rsid w:val="00202C06"/>
    <w:rsid w:val="002033BE"/>
    <w:rsid w:val="0020379D"/>
    <w:rsid w:val="00203EFD"/>
    <w:rsid w:val="002062AB"/>
    <w:rsid w:val="00210768"/>
    <w:rsid w:val="00211D74"/>
    <w:rsid w:val="00213AA7"/>
    <w:rsid w:val="00221F31"/>
    <w:rsid w:val="00222994"/>
    <w:rsid w:val="00222995"/>
    <w:rsid w:val="0022388F"/>
    <w:rsid w:val="00226AA4"/>
    <w:rsid w:val="00227618"/>
    <w:rsid w:val="0023148A"/>
    <w:rsid w:val="0023151B"/>
    <w:rsid w:val="002339C9"/>
    <w:rsid w:val="0024031F"/>
    <w:rsid w:val="00247C4B"/>
    <w:rsid w:val="00252B88"/>
    <w:rsid w:val="0025491D"/>
    <w:rsid w:val="00255ADC"/>
    <w:rsid w:val="00256E74"/>
    <w:rsid w:val="002601FB"/>
    <w:rsid w:val="0026272E"/>
    <w:rsid w:val="00265766"/>
    <w:rsid w:val="0027522F"/>
    <w:rsid w:val="00276031"/>
    <w:rsid w:val="0028078D"/>
    <w:rsid w:val="0028234A"/>
    <w:rsid w:val="00286A8B"/>
    <w:rsid w:val="002900EF"/>
    <w:rsid w:val="00290EB5"/>
    <w:rsid w:val="002A1ABD"/>
    <w:rsid w:val="002A479C"/>
    <w:rsid w:val="002A761F"/>
    <w:rsid w:val="002B5FEF"/>
    <w:rsid w:val="002D34AC"/>
    <w:rsid w:val="002D3AF5"/>
    <w:rsid w:val="002D6ED5"/>
    <w:rsid w:val="002E138B"/>
    <w:rsid w:val="002E3C92"/>
    <w:rsid w:val="002E5D51"/>
    <w:rsid w:val="002E7EBD"/>
    <w:rsid w:val="002F1CC7"/>
    <w:rsid w:val="002F5743"/>
    <w:rsid w:val="002F78B8"/>
    <w:rsid w:val="002F7C0F"/>
    <w:rsid w:val="00302F38"/>
    <w:rsid w:val="00307B92"/>
    <w:rsid w:val="00313F5F"/>
    <w:rsid w:val="003174FC"/>
    <w:rsid w:val="00321063"/>
    <w:rsid w:val="00325DF4"/>
    <w:rsid w:val="00326214"/>
    <w:rsid w:val="003277A2"/>
    <w:rsid w:val="00335DE8"/>
    <w:rsid w:val="0034661C"/>
    <w:rsid w:val="00347E21"/>
    <w:rsid w:val="00360EA5"/>
    <w:rsid w:val="00363CEF"/>
    <w:rsid w:val="003702BE"/>
    <w:rsid w:val="003702E3"/>
    <w:rsid w:val="00373FBD"/>
    <w:rsid w:val="003765C7"/>
    <w:rsid w:val="00380661"/>
    <w:rsid w:val="003815D9"/>
    <w:rsid w:val="0038314E"/>
    <w:rsid w:val="00384373"/>
    <w:rsid w:val="00387F5E"/>
    <w:rsid w:val="003926C4"/>
    <w:rsid w:val="00392AFA"/>
    <w:rsid w:val="00396FB9"/>
    <w:rsid w:val="003A03BA"/>
    <w:rsid w:val="003A1BD1"/>
    <w:rsid w:val="003B02D2"/>
    <w:rsid w:val="003B053B"/>
    <w:rsid w:val="003B7B4A"/>
    <w:rsid w:val="003C3D6D"/>
    <w:rsid w:val="003C749E"/>
    <w:rsid w:val="003C7618"/>
    <w:rsid w:val="003C7AC8"/>
    <w:rsid w:val="003D17FA"/>
    <w:rsid w:val="003D1A38"/>
    <w:rsid w:val="003D1FA1"/>
    <w:rsid w:val="003D60AD"/>
    <w:rsid w:val="003E18E4"/>
    <w:rsid w:val="003E5D5D"/>
    <w:rsid w:val="003F1446"/>
    <w:rsid w:val="003F585A"/>
    <w:rsid w:val="003F7EA1"/>
    <w:rsid w:val="00403A18"/>
    <w:rsid w:val="00406C55"/>
    <w:rsid w:val="00411750"/>
    <w:rsid w:val="00416EC8"/>
    <w:rsid w:val="00417276"/>
    <w:rsid w:val="004223FB"/>
    <w:rsid w:val="00425DFD"/>
    <w:rsid w:val="00425ECE"/>
    <w:rsid w:val="00435606"/>
    <w:rsid w:val="0043648C"/>
    <w:rsid w:val="0043654F"/>
    <w:rsid w:val="00471C41"/>
    <w:rsid w:val="00474F04"/>
    <w:rsid w:val="00476C75"/>
    <w:rsid w:val="00483A6E"/>
    <w:rsid w:val="00485BA9"/>
    <w:rsid w:val="0049025E"/>
    <w:rsid w:val="00490D5D"/>
    <w:rsid w:val="00490FE0"/>
    <w:rsid w:val="00493D14"/>
    <w:rsid w:val="00495052"/>
    <w:rsid w:val="004A5FE6"/>
    <w:rsid w:val="004B3AB2"/>
    <w:rsid w:val="004B4D52"/>
    <w:rsid w:val="004C0371"/>
    <w:rsid w:val="004C0C3F"/>
    <w:rsid w:val="004D0859"/>
    <w:rsid w:val="004D1BF3"/>
    <w:rsid w:val="004D60A7"/>
    <w:rsid w:val="004D6A79"/>
    <w:rsid w:val="004E4B0F"/>
    <w:rsid w:val="004F06A7"/>
    <w:rsid w:val="004F5543"/>
    <w:rsid w:val="00502897"/>
    <w:rsid w:val="00502931"/>
    <w:rsid w:val="005031CD"/>
    <w:rsid w:val="00504AE6"/>
    <w:rsid w:val="00506386"/>
    <w:rsid w:val="0051691C"/>
    <w:rsid w:val="00526555"/>
    <w:rsid w:val="00531D61"/>
    <w:rsid w:val="005333C1"/>
    <w:rsid w:val="005418AA"/>
    <w:rsid w:val="00552337"/>
    <w:rsid w:val="00556677"/>
    <w:rsid w:val="00561DD0"/>
    <w:rsid w:val="005624AF"/>
    <w:rsid w:val="00570C43"/>
    <w:rsid w:val="00571018"/>
    <w:rsid w:val="005711E3"/>
    <w:rsid w:val="00571F33"/>
    <w:rsid w:val="00573404"/>
    <w:rsid w:val="005761F8"/>
    <w:rsid w:val="00577A7F"/>
    <w:rsid w:val="00577DA9"/>
    <w:rsid w:val="00580EF9"/>
    <w:rsid w:val="0058165D"/>
    <w:rsid w:val="00581EE0"/>
    <w:rsid w:val="00581F2B"/>
    <w:rsid w:val="00591DF4"/>
    <w:rsid w:val="005940BE"/>
    <w:rsid w:val="005A227C"/>
    <w:rsid w:val="005A55BC"/>
    <w:rsid w:val="005B5808"/>
    <w:rsid w:val="005C0807"/>
    <w:rsid w:val="005D74BF"/>
    <w:rsid w:val="005E01C1"/>
    <w:rsid w:val="005E09CA"/>
    <w:rsid w:val="005E3A81"/>
    <w:rsid w:val="005F3977"/>
    <w:rsid w:val="005F3A0B"/>
    <w:rsid w:val="00600434"/>
    <w:rsid w:val="0060385A"/>
    <w:rsid w:val="0061242B"/>
    <w:rsid w:val="0061432A"/>
    <w:rsid w:val="00614A81"/>
    <w:rsid w:val="006231E8"/>
    <w:rsid w:val="0062434A"/>
    <w:rsid w:val="00627C61"/>
    <w:rsid w:val="00631FDE"/>
    <w:rsid w:val="00632747"/>
    <w:rsid w:val="00637431"/>
    <w:rsid w:val="00644416"/>
    <w:rsid w:val="00650B8B"/>
    <w:rsid w:val="00662683"/>
    <w:rsid w:val="00662FC7"/>
    <w:rsid w:val="00665C5D"/>
    <w:rsid w:val="00670345"/>
    <w:rsid w:val="00672F6F"/>
    <w:rsid w:val="006740C6"/>
    <w:rsid w:val="006752C8"/>
    <w:rsid w:val="00680008"/>
    <w:rsid w:val="006866AA"/>
    <w:rsid w:val="00690CBC"/>
    <w:rsid w:val="00697CDA"/>
    <w:rsid w:val="006A7DB9"/>
    <w:rsid w:val="006B16B4"/>
    <w:rsid w:val="006B2593"/>
    <w:rsid w:val="006B4629"/>
    <w:rsid w:val="006C0598"/>
    <w:rsid w:val="006C3DBF"/>
    <w:rsid w:val="006C5AE0"/>
    <w:rsid w:val="006F06A2"/>
    <w:rsid w:val="006F06DD"/>
    <w:rsid w:val="006F111B"/>
    <w:rsid w:val="006F4BD2"/>
    <w:rsid w:val="007009C7"/>
    <w:rsid w:val="007060A8"/>
    <w:rsid w:val="00706C16"/>
    <w:rsid w:val="007136D8"/>
    <w:rsid w:val="00717ACE"/>
    <w:rsid w:val="00721A65"/>
    <w:rsid w:val="00722C7F"/>
    <w:rsid w:val="007278B6"/>
    <w:rsid w:val="00732B9D"/>
    <w:rsid w:val="00733BEC"/>
    <w:rsid w:val="0073598C"/>
    <w:rsid w:val="007365F5"/>
    <w:rsid w:val="00740437"/>
    <w:rsid w:val="00745790"/>
    <w:rsid w:val="007507C4"/>
    <w:rsid w:val="007520C2"/>
    <w:rsid w:val="00755422"/>
    <w:rsid w:val="007572B3"/>
    <w:rsid w:val="00757DD4"/>
    <w:rsid w:val="00760872"/>
    <w:rsid w:val="007656D6"/>
    <w:rsid w:val="0076671D"/>
    <w:rsid w:val="00772FED"/>
    <w:rsid w:val="00780102"/>
    <w:rsid w:val="007838EB"/>
    <w:rsid w:val="00783D3D"/>
    <w:rsid w:val="007946E5"/>
    <w:rsid w:val="007964D2"/>
    <w:rsid w:val="007A68C5"/>
    <w:rsid w:val="007B0A01"/>
    <w:rsid w:val="007C6B55"/>
    <w:rsid w:val="007D4BBB"/>
    <w:rsid w:val="007D5F23"/>
    <w:rsid w:val="007D7130"/>
    <w:rsid w:val="007D7D5A"/>
    <w:rsid w:val="007E1719"/>
    <w:rsid w:val="007E72BA"/>
    <w:rsid w:val="007E78F1"/>
    <w:rsid w:val="007F1C8D"/>
    <w:rsid w:val="007F4102"/>
    <w:rsid w:val="007F5DBF"/>
    <w:rsid w:val="007F70FA"/>
    <w:rsid w:val="0080084D"/>
    <w:rsid w:val="00806C9E"/>
    <w:rsid w:val="00810D34"/>
    <w:rsid w:val="008116C7"/>
    <w:rsid w:val="008175F2"/>
    <w:rsid w:val="008201EB"/>
    <w:rsid w:val="008213C3"/>
    <w:rsid w:val="00825723"/>
    <w:rsid w:val="00826650"/>
    <w:rsid w:val="008309DB"/>
    <w:rsid w:val="00831B42"/>
    <w:rsid w:val="00837E85"/>
    <w:rsid w:val="00842BB5"/>
    <w:rsid w:val="00843B72"/>
    <w:rsid w:val="00844C7F"/>
    <w:rsid w:val="008460A9"/>
    <w:rsid w:val="00846B1A"/>
    <w:rsid w:val="00851503"/>
    <w:rsid w:val="00851684"/>
    <w:rsid w:val="00871200"/>
    <w:rsid w:val="00873085"/>
    <w:rsid w:val="00875CB2"/>
    <w:rsid w:val="00877036"/>
    <w:rsid w:val="008776BE"/>
    <w:rsid w:val="00881005"/>
    <w:rsid w:val="00882DCE"/>
    <w:rsid w:val="0088577A"/>
    <w:rsid w:val="00886A88"/>
    <w:rsid w:val="008933A2"/>
    <w:rsid w:val="008A66D1"/>
    <w:rsid w:val="008B3490"/>
    <w:rsid w:val="008B3BA1"/>
    <w:rsid w:val="008C40BB"/>
    <w:rsid w:val="008C51BF"/>
    <w:rsid w:val="008C7186"/>
    <w:rsid w:val="008D1C61"/>
    <w:rsid w:val="008F132D"/>
    <w:rsid w:val="008F1A0C"/>
    <w:rsid w:val="008F2E0B"/>
    <w:rsid w:val="008F6CD8"/>
    <w:rsid w:val="0090033E"/>
    <w:rsid w:val="00903B4E"/>
    <w:rsid w:val="009106AF"/>
    <w:rsid w:val="00913DB3"/>
    <w:rsid w:val="009147A8"/>
    <w:rsid w:val="00914FD0"/>
    <w:rsid w:val="00917258"/>
    <w:rsid w:val="009221A1"/>
    <w:rsid w:val="00925BDD"/>
    <w:rsid w:val="00932052"/>
    <w:rsid w:val="009378B0"/>
    <w:rsid w:val="00950EF5"/>
    <w:rsid w:val="00952F48"/>
    <w:rsid w:val="00954DEA"/>
    <w:rsid w:val="00962DD2"/>
    <w:rsid w:val="0096331D"/>
    <w:rsid w:val="009647F5"/>
    <w:rsid w:val="00967A3C"/>
    <w:rsid w:val="00967E4F"/>
    <w:rsid w:val="009707D7"/>
    <w:rsid w:val="0097741F"/>
    <w:rsid w:val="009842E1"/>
    <w:rsid w:val="00985C0A"/>
    <w:rsid w:val="00993FA3"/>
    <w:rsid w:val="009B5DF0"/>
    <w:rsid w:val="009B7E82"/>
    <w:rsid w:val="009C065B"/>
    <w:rsid w:val="009C2840"/>
    <w:rsid w:val="009C4003"/>
    <w:rsid w:val="009C45CD"/>
    <w:rsid w:val="009C4650"/>
    <w:rsid w:val="009C5AED"/>
    <w:rsid w:val="009D2B43"/>
    <w:rsid w:val="009E0CB6"/>
    <w:rsid w:val="009F0A5F"/>
    <w:rsid w:val="009F2CF6"/>
    <w:rsid w:val="009F4BEB"/>
    <w:rsid w:val="00A057C0"/>
    <w:rsid w:val="00A05FE3"/>
    <w:rsid w:val="00A1079E"/>
    <w:rsid w:val="00A108F0"/>
    <w:rsid w:val="00A15EC1"/>
    <w:rsid w:val="00A1603F"/>
    <w:rsid w:val="00A24DA7"/>
    <w:rsid w:val="00A33177"/>
    <w:rsid w:val="00A42B9F"/>
    <w:rsid w:val="00A43E0E"/>
    <w:rsid w:val="00A502A6"/>
    <w:rsid w:val="00A51E83"/>
    <w:rsid w:val="00A52603"/>
    <w:rsid w:val="00A65D25"/>
    <w:rsid w:val="00A7182E"/>
    <w:rsid w:val="00A808BD"/>
    <w:rsid w:val="00A81C04"/>
    <w:rsid w:val="00A8568B"/>
    <w:rsid w:val="00A863A9"/>
    <w:rsid w:val="00A8776A"/>
    <w:rsid w:val="00A92625"/>
    <w:rsid w:val="00AA053D"/>
    <w:rsid w:val="00AA331E"/>
    <w:rsid w:val="00AA4A0B"/>
    <w:rsid w:val="00AB6364"/>
    <w:rsid w:val="00AB7AA4"/>
    <w:rsid w:val="00AC0D99"/>
    <w:rsid w:val="00AC5398"/>
    <w:rsid w:val="00AD39EA"/>
    <w:rsid w:val="00AD4B77"/>
    <w:rsid w:val="00AE651E"/>
    <w:rsid w:val="00AE726F"/>
    <w:rsid w:val="00AF731A"/>
    <w:rsid w:val="00B0387E"/>
    <w:rsid w:val="00B0497A"/>
    <w:rsid w:val="00B05AB4"/>
    <w:rsid w:val="00B05B87"/>
    <w:rsid w:val="00B06247"/>
    <w:rsid w:val="00B10100"/>
    <w:rsid w:val="00B10175"/>
    <w:rsid w:val="00B123A3"/>
    <w:rsid w:val="00B22861"/>
    <w:rsid w:val="00B23404"/>
    <w:rsid w:val="00B27A4B"/>
    <w:rsid w:val="00B316FB"/>
    <w:rsid w:val="00B3636D"/>
    <w:rsid w:val="00B51DB0"/>
    <w:rsid w:val="00B57EA4"/>
    <w:rsid w:val="00B652BB"/>
    <w:rsid w:val="00B70A79"/>
    <w:rsid w:val="00B769E4"/>
    <w:rsid w:val="00B76F50"/>
    <w:rsid w:val="00B80568"/>
    <w:rsid w:val="00B84E66"/>
    <w:rsid w:val="00B84E67"/>
    <w:rsid w:val="00B84F21"/>
    <w:rsid w:val="00B92B85"/>
    <w:rsid w:val="00B9455B"/>
    <w:rsid w:val="00B9584C"/>
    <w:rsid w:val="00B9783F"/>
    <w:rsid w:val="00BA0250"/>
    <w:rsid w:val="00BA0E8E"/>
    <w:rsid w:val="00BA6E73"/>
    <w:rsid w:val="00BA7146"/>
    <w:rsid w:val="00BC23EE"/>
    <w:rsid w:val="00BC265F"/>
    <w:rsid w:val="00BD177B"/>
    <w:rsid w:val="00BD1EFB"/>
    <w:rsid w:val="00BD50A8"/>
    <w:rsid w:val="00BD7FED"/>
    <w:rsid w:val="00BE2F03"/>
    <w:rsid w:val="00BE40D1"/>
    <w:rsid w:val="00BE5A95"/>
    <w:rsid w:val="00BF06A9"/>
    <w:rsid w:val="00BF084E"/>
    <w:rsid w:val="00BF761E"/>
    <w:rsid w:val="00BF7D14"/>
    <w:rsid w:val="00C028D4"/>
    <w:rsid w:val="00C054DE"/>
    <w:rsid w:val="00C151D4"/>
    <w:rsid w:val="00C2104B"/>
    <w:rsid w:val="00C31811"/>
    <w:rsid w:val="00C32A9F"/>
    <w:rsid w:val="00C36681"/>
    <w:rsid w:val="00C40E61"/>
    <w:rsid w:val="00C43088"/>
    <w:rsid w:val="00C47797"/>
    <w:rsid w:val="00C52794"/>
    <w:rsid w:val="00C62635"/>
    <w:rsid w:val="00C6522B"/>
    <w:rsid w:val="00C716F1"/>
    <w:rsid w:val="00C74084"/>
    <w:rsid w:val="00C76AD8"/>
    <w:rsid w:val="00C9380F"/>
    <w:rsid w:val="00CA187B"/>
    <w:rsid w:val="00CA44FF"/>
    <w:rsid w:val="00CA7047"/>
    <w:rsid w:val="00CB1D11"/>
    <w:rsid w:val="00CB3A85"/>
    <w:rsid w:val="00CB678E"/>
    <w:rsid w:val="00CC5ABC"/>
    <w:rsid w:val="00CC5FF5"/>
    <w:rsid w:val="00CC7DAB"/>
    <w:rsid w:val="00CC7EB1"/>
    <w:rsid w:val="00CD00D1"/>
    <w:rsid w:val="00CD08F4"/>
    <w:rsid w:val="00CD292C"/>
    <w:rsid w:val="00CE00BB"/>
    <w:rsid w:val="00CE05D0"/>
    <w:rsid w:val="00CE381A"/>
    <w:rsid w:val="00CE6C0F"/>
    <w:rsid w:val="00CE7D85"/>
    <w:rsid w:val="00CF390F"/>
    <w:rsid w:val="00CF3955"/>
    <w:rsid w:val="00CF3BC5"/>
    <w:rsid w:val="00CF68F4"/>
    <w:rsid w:val="00D076E6"/>
    <w:rsid w:val="00D131A0"/>
    <w:rsid w:val="00D13398"/>
    <w:rsid w:val="00D13439"/>
    <w:rsid w:val="00D208A5"/>
    <w:rsid w:val="00D216A9"/>
    <w:rsid w:val="00D221CD"/>
    <w:rsid w:val="00D23248"/>
    <w:rsid w:val="00D26D77"/>
    <w:rsid w:val="00D30F98"/>
    <w:rsid w:val="00D53EA7"/>
    <w:rsid w:val="00D6790B"/>
    <w:rsid w:val="00D70125"/>
    <w:rsid w:val="00D707DB"/>
    <w:rsid w:val="00D71D4F"/>
    <w:rsid w:val="00D73BBF"/>
    <w:rsid w:val="00D85D33"/>
    <w:rsid w:val="00D97870"/>
    <w:rsid w:val="00DB54A6"/>
    <w:rsid w:val="00DC3428"/>
    <w:rsid w:val="00DC36A7"/>
    <w:rsid w:val="00DD17B0"/>
    <w:rsid w:val="00DD3439"/>
    <w:rsid w:val="00DD7540"/>
    <w:rsid w:val="00DF0D2D"/>
    <w:rsid w:val="00DF2285"/>
    <w:rsid w:val="00DF3DB4"/>
    <w:rsid w:val="00DF48F8"/>
    <w:rsid w:val="00DF5C7F"/>
    <w:rsid w:val="00E00A18"/>
    <w:rsid w:val="00E014D6"/>
    <w:rsid w:val="00E04033"/>
    <w:rsid w:val="00E043FB"/>
    <w:rsid w:val="00E04718"/>
    <w:rsid w:val="00E05094"/>
    <w:rsid w:val="00E068D7"/>
    <w:rsid w:val="00E15C63"/>
    <w:rsid w:val="00E356A4"/>
    <w:rsid w:val="00E36D86"/>
    <w:rsid w:val="00E42EE4"/>
    <w:rsid w:val="00E47AB5"/>
    <w:rsid w:val="00E51128"/>
    <w:rsid w:val="00E570E2"/>
    <w:rsid w:val="00E6285F"/>
    <w:rsid w:val="00E6399F"/>
    <w:rsid w:val="00E66D11"/>
    <w:rsid w:val="00E7324E"/>
    <w:rsid w:val="00E74A75"/>
    <w:rsid w:val="00E74E82"/>
    <w:rsid w:val="00E75C3D"/>
    <w:rsid w:val="00E87D9B"/>
    <w:rsid w:val="00E931F7"/>
    <w:rsid w:val="00E94D60"/>
    <w:rsid w:val="00E94D71"/>
    <w:rsid w:val="00EA0A9D"/>
    <w:rsid w:val="00EA1075"/>
    <w:rsid w:val="00EA74FB"/>
    <w:rsid w:val="00EB31DD"/>
    <w:rsid w:val="00EC4C2A"/>
    <w:rsid w:val="00ED01A7"/>
    <w:rsid w:val="00ED2579"/>
    <w:rsid w:val="00ED3CDB"/>
    <w:rsid w:val="00EF0471"/>
    <w:rsid w:val="00EF0AEA"/>
    <w:rsid w:val="00EF1628"/>
    <w:rsid w:val="00F117FF"/>
    <w:rsid w:val="00F13FA3"/>
    <w:rsid w:val="00F21F84"/>
    <w:rsid w:val="00F23AA5"/>
    <w:rsid w:val="00F23FF9"/>
    <w:rsid w:val="00F30378"/>
    <w:rsid w:val="00F35272"/>
    <w:rsid w:val="00F44BD9"/>
    <w:rsid w:val="00F52063"/>
    <w:rsid w:val="00F53658"/>
    <w:rsid w:val="00F54169"/>
    <w:rsid w:val="00F54E8B"/>
    <w:rsid w:val="00F701CB"/>
    <w:rsid w:val="00F72930"/>
    <w:rsid w:val="00F73584"/>
    <w:rsid w:val="00F77AD4"/>
    <w:rsid w:val="00F81F0C"/>
    <w:rsid w:val="00F85E33"/>
    <w:rsid w:val="00F93F07"/>
    <w:rsid w:val="00F949F8"/>
    <w:rsid w:val="00F94B17"/>
    <w:rsid w:val="00F9621F"/>
    <w:rsid w:val="00FA7AB7"/>
    <w:rsid w:val="00FB03D5"/>
    <w:rsid w:val="00FB0B99"/>
    <w:rsid w:val="00FB18B4"/>
    <w:rsid w:val="00FB2680"/>
    <w:rsid w:val="00FB3945"/>
    <w:rsid w:val="00FB4C3B"/>
    <w:rsid w:val="00FB55C6"/>
    <w:rsid w:val="00FB7B62"/>
    <w:rsid w:val="00FC03F8"/>
    <w:rsid w:val="00FC5520"/>
    <w:rsid w:val="00FC6D4A"/>
    <w:rsid w:val="00FD4000"/>
    <w:rsid w:val="00FD48F8"/>
    <w:rsid w:val="00FD53E0"/>
    <w:rsid w:val="00FD5DD9"/>
    <w:rsid w:val="00FE668B"/>
    <w:rsid w:val="00FF11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B42"/>
    <w:rPr>
      <w:sz w:val="24"/>
      <w:szCs w:val="24"/>
      <w:lang w:val="en-US" w:eastAsia="en-US"/>
    </w:rPr>
  </w:style>
  <w:style w:type="paragraph" w:styleId="Heading1">
    <w:name w:val="heading 1"/>
    <w:basedOn w:val="Normal"/>
    <w:next w:val="Normal"/>
    <w:link w:val="Heading1Char"/>
    <w:qFormat/>
    <w:rsid w:val="002403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57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324E"/>
    <w:pPr>
      <w:spacing w:after="260"/>
      <w:ind w:left="720" w:hanging="720"/>
      <w:jc w:val="both"/>
    </w:pPr>
    <w:rPr>
      <w:sz w:val="26"/>
      <w:szCs w:val="20"/>
    </w:rPr>
  </w:style>
  <w:style w:type="character" w:customStyle="1" w:styleId="BodyTextChar">
    <w:name w:val="Body Text Char"/>
    <w:basedOn w:val="DefaultParagraphFont"/>
    <w:link w:val="BodyText"/>
    <w:rsid w:val="00E7324E"/>
    <w:rPr>
      <w:sz w:val="26"/>
      <w:lang w:val="en-US" w:eastAsia="en-US" w:bidi="ar-SA"/>
    </w:rPr>
  </w:style>
  <w:style w:type="paragraph" w:customStyle="1" w:styleId="Default">
    <w:name w:val="Default"/>
    <w:rsid w:val="00BC265F"/>
    <w:pPr>
      <w:widowControl w:val="0"/>
      <w:autoSpaceDE w:val="0"/>
      <w:autoSpaceDN w:val="0"/>
      <w:adjustRightInd w:val="0"/>
    </w:pPr>
    <w:rPr>
      <w:color w:val="000000"/>
      <w:sz w:val="24"/>
      <w:szCs w:val="24"/>
      <w:lang w:val="en-US" w:eastAsia="en-US"/>
    </w:rPr>
  </w:style>
  <w:style w:type="table" w:styleId="TableGrid">
    <w:name w:val="Table Grid"/>
    <w:basedOn w:val="TableNormal"/>
    <w:rsid w:val="009E0C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D6ED5"/>
    <w:rPr>
      <w:sz w:val="16"/>
      <w:szCs w:val="16"/>
    </w:rPr>
  </w:style>
  <w:style w:type="paragraph" w:styleId="CommentText">
    <w:name w:val="annotation text"/>
    <w:basedOn w:val="Normal"/>
    <w:link w:val="CommentTextChar"/>
    <w:rsid w:val="002D6ED5"/>
    <w:rPr>
      <w:sz w:val="20"/>
      <w:szCs w:val="20"/>
    </w:rPr>
  </w:style>
  <w:style w:type="character" w:customStyle="1" w:styleId="CommentTextChar">
    <w:name w:val="Comment Text Char"/>
    <w:basedOn w:val="DefaultParagraphFont"/>
    <w:link w:val="CommentText"/>
    <w:rsid w:val="002D6ED5"/>
  </w:style>
  <w:style w:type="paragraph" w:styleId="CommentSubject">
    <w:name w:val="annotation subject"/>
    <w:basedOn w:val="CommentText"/>
    <w:next w:val="CommentText"/>
    <w:link w:val="CommentSubjectChar"/>
    <w:rsid w:val="002D6ED5"/>
    <w:rPr>
      <w:b/>
      <w:bCs/>
    </w:rPr>
  </w:style>
  <w:style w:type="character" w:customStyle="1" w:styleId="CommentSubjectChar">
    <w:name w:val="Comment Subject Char"/>
    <w:basedOn w:val="CommentTextChar"/>
    <w:link w:val="CommentSubject"/>
    <w:rsid w:val="002D6ED5"/>
    <w:rPr>
      <w:b/>
      <w:bCs/>
    </w:rPr>
  </w:style>
  <w:style w:type="paragraph" w:styleId="BalloonText">
    <w:name w:val="Balloon Text"/>
    <w:basedOn w:val="Normal"/>
    <w:link w:val="BalloonTextChar"/>
    <w:rsid w:val="002D6ED5"/>
    <w:rPr>
      <w:rFonts w:ascii="Tahoma" w:hAnsi="Tahoma" w:cs="Tahoma"/>
      <w:sz w:val="16"/>
      <w:szCs w:val="16"/>
    </w:rPr>
  </w:style>
  <w:style w:type="character" w:customStyle="1" w:styleId="BalloonTextChar">
    <w:name w:val="Balloon Text Char"/>
    <w:basedOn w:val="DefaultParagraphFont"/>
    <w:link w:val="BalloonText"/>
    <w:rsid w:val="002D6ED5"/>
    <w:rPr>
      <w:rFonts w:ascii="Tahoma" w:hAnsi="Tahoma" w:cs="Tahoma"/>
      <w:sz w:val="16"/>
      <w:szCs w:val="16"/>
    </w:rPr>
  </w:style>
  <w:style w:type="paragraph" w:styleId="Header">
    <w:name w:val="header"/>
    <w:basedOn w:val="Normal"/>
    <w:rsid w:val="00DD7540"/>
    <w:pPr>
      <w:tabs>
        <w:tab w:val="center" w:pos="4320"/>
        <w:tab w:val="right" w:pos="8640"/>
      </w:tabs>
    </w:pPr>
  </w:style>
  <w:style w:type="paragraph" w:styleId="Footer">
    <w:name w:val="footer"/>
    <w:basedOn w:val="Normal"/>
    <w:link w:val="FooterChar"/>
    <w:uiPriority w:val="99"/>
    <w:rsid w:val="00DD7540"/>
    <w:pPr>
      <w:tabs>
        <w:tab w:val="center" w:pos="4320"/>
        <w:tab w:val="right" w:pos="8640"/>
      </w:tabs>
    </w:pPr>
  </w:style>
  <w:style w:type="character" w:customStyle="1" w:styleId="zzmpTrailerItem">
    <w:name w:val="zzmpTrailerItem"/>
    <w:basedOn w:val="DefaultParagraphFont"/>
    <w:rsid w:val="003D17FA"/>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semiHidden/>
    <w:rsid w:val="00B06247"/>
    <w:pPr>
      <w:keepLines/>
      <w:spacing w:after="120" w:line="240" w:lineRule="exact"/>
      <w:jc w:val="both"/>
    </w:pPr>
    <w:rPr>
      <w:color w:val="000000"/>
      <w:szCs w:val="20"/>
    </w:rPr>
  </w:style>
  <w:style w:type="character" w:styleId="FootnoteReference">
    <w:name w:val="footnote reference"/>
    <w:basedOn w:val="DefaultParagraphFont"/>
    <w:semiHidden/>
    <w:rsid w:val="00B06247"/>
    <w:rPr>
      <w:vertAlign w:val="superscript"/>
    </w:rPr>
  </w:style>
  <w:style w:type="character" w:styleId="PageNumber">
    <w:name w:val="page number"/>
    <w:basedOn w:val="DefaultParagraphFont"/>
    <w:rsid w:val="00B06247"/>
  </w:style>
  <w:style w:type="paragraph" w:styleId="EndnoteText">
    <w:name w:val="endnote text"/>
    <w:basedOn w:val="Normal"/>
    <w:link w:val="EndnoteTextChar"/>
    <w:rsid w:val="00FD48F8"/>
    <w:rPr>
      <w:sz w:val="20"/>
      <w:szCs w:val="20"/>
    </w:rPr>
  </w:style>
  <w:style w:type="character" w:customStyle="1" w:styleId="EndnoteTextChar">
    <w:name w:val="Endnote Text Char"/>
    <w:basedOn w:val="DefaultParagraphFont"/>
    <w:link w:val="EndnoteText"/>
    <w:rsid w:val="00FD48F8"/>
    <w:rPr>
      <w:lang w:val="en-US" w:eastAsia="en-US"/>
    </w:rPr>
  </w:style>
  <w:style w:type="character" w:styleId="EndnoteReference">
    <w:name w:val="endnote reference"/>
    <w:basedOn w:val="DefaultParagraphFont"/>
    <w:rsid w:val="00FD48F8"/>
    <w:rPr>
      <w:vertAlign w:val="superscript"/>
    </w:rPr>
  </w:style>
  <w:style w:type="character" w:customStyle="1" w:styleId="FooterChar">
    <w:name w:val="Footer Char"/>
    <w:basedOn w:val="DefaultParagraphFont"/>
    <w:link w:val="Footer"/>
    <w:uiPriority w:val="99"/>
    <w:rsid w:val="005624AF"/>
    <w:rPr>
      <w:sz w:val="24"/>
      <w:szCs w:val="24"/>
      <w:lang w:val="en-US" w:eastAsia="en-US"/>
    </w:rPr>
  </w:style>
  <w:style w:type="paragraph" w:styleId="NormalWeb">
    <w:name w:val="Normal (Web)"/>
    <w:basedOn w:val="Normal"/>
    <w:uiPriority w:val="99"/>
    <w:unhideWhenUsed/>
    <w:rsid w:val="008A66D1"/>
    <w:pPr>
      <w:spacing w:before="100" w:beforeAutospacing="1" w:after="100" w:afterAutospacing="1"/>
    </w:pPr>
    <w:rPr>
      <w:rFonts w:eastAsiaTheme="minorEastAsia"/>
    </w:rPr>
  </w:style>
  <w:style w:type="paragraph" w:styleId="ListParagraph">
    <w:name w:val="List Paragraph"/>
    <w:basedOn w:val="Normal"/>
    <w:uiPriority w:val="34"/>
    <w:qFormat/>
    <w:rsid w:val="00502931"/>
    <w:pPr>
      <w:ind w:left="720"/>
      <w:contextualSpacing/>
    </w:pPr>
  </w:style>
  <w:style w:type="character" w:customStyle="1" w:styleId="Heading1Char">
    <w:name w:val="Heading 1 Char"/>
    <w:basedOn w:val="DefaultParagraphFont"/>
    <w:link w:val="Heading1"/>
    <w:rsid w:val="0024031F"/>
    <w:rPr>
      <w:rFonts w:asciiTheme="majorHAnsi" w:eastAsiaTheme="majorEastAsia" w:hAnsiTheme="majorHAnsi" w:cstheme="majorBidi"/>
      <w:b/>
      <w:bCs/>
      <w:color w:val="365F91" w:themeColor="accent1" w:themeShade="BF"/>
      <w:sz w:val="28"/>
      <w:szCs w:val="28"/>
      <w:lang w:val="en-US" w:eastAsia="en-US"/>
    </w:rPr>
  </w:style>
  <w:style w:type="paragraph" w:styleId="Subtitle">
    <w:name w:val="Subtitle"/>
    <w:basedOn w:val="Heading2"/>
    <w:next w:val="Normal"/>
    <w:link w:val="SubtitleChar"/>
    <w:qFormat/>
    <w:rsid w:val="000E6C2E"/>
    <w:pPr>
      <w:numPr>
        <w:ilvl w:val="1"/>
      </w:numPr>
    </w:pPr>
    <w:rPr>
      <w:i/>
      <w:iCs/>
      <w:spacing w:val="15"/>
    </w:rPr>
  </w:style>
  <w:style w:type="character" w:customStyle="1" w:styleId="SubtitleChar">
    <w:name w:val="Subtitle Char"/>
    <w:basedOn w:val="DefaultParagraphFont"/>
    <w:link w:val="Subtitle"/>
    <w:rsid w:val="00A057C0"/>
    <w:rPr>
      <w:rFonts w:asciiTheme="majorHAnsi" w:eastAsiaTheme="majorEastAsia" w:hAnsiTheme="majorHAnsi" w:cstheme="majorBidi"/>
      <w:b/>
      <w:bCs/>
      <w:i/>
      <w:iCs/>
      <w:color w:val="4F81BD" w:themeColor="accent1"/>
      <w:spacing w:val="15"/>
      <w:sz w:val="26"/>
      <w:szCs w:val="26"/>
      <w:lang w:val="en-US" w:eastAsia="en-US"/>
    </w:rPr>
  </w:style>
  <w:style w:type="character" w:styleId="Hyperlink">
    <w:name w:val="Hyperlink"/>
    <w:basedOn w:val="DefaultParagraphFont"/>
    <w:uiPriority w:val="99"/>
    <w:rsid w:val="00A863A9"/>
    <w:rPr>
      <w:color w:val="0000FF" w:themeColor="hyperlink"/>
      <w:u w:val="single"/>
    </w:rPr>
  </w:style>
  <w:style w:type="character" w:customStyle="1" w:styleId="Heading2Char">
    <w:name w:val="Heading 2 Char"/>
    <w:basedOn w:val="DefaultParagraphFont"/>
    <w:link w:val="Heading2"/>
    <w:semiHidden/>
    <w:rsid w:val="00A057C0"/>
    <w:rPr>
      <w:rFonts w:asciiTheme="majorHAnsi" w:eastAsiaTheme="majorEastAsia" w:hAnsiTheme="majorHAnsi" w:cstheme="majorBidi"/>
      <w:b/>
      <w:bCs/>
      <w:color w:val="4F81BD" w:themeColor="accent1"/>
      <w:sz w:val="26"/>
      <w:szCs w:val="26"/>
      <w:lang w:val="en-US" w:eastAsia="en-US"/>
    </w:rPr>
  </w:style>
  <w:style w:type="paragraph" w:styleId="NoSpacing">
    <w:name w:val="No Spacing"/>
    <w:link w:val="NoSpacingChar"/>
    <w:uiPriority w:val="1"/>
    <w:qFormat/>
    <w:rsid w:val="0020379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0379D"/>
    <w:rPr>
      <w:rFonts w:asciiTheme="minorHAnsi" w:eastAsiaTheme="minorEastAsia" w:hAnsiTheme="minorHAnsi" w:cstheme="minorBidi"/>
      <w:sz w:val="22"/>
      <w:szCs w:val="22"/>
      <w:lang w:val="en-US" w:eastAsia="ja-JP"/>
    </w:rPr>
  </w:style>
  <w:style w:type="paragraph" w:styleId="TOCHeading">
    <w:name w:val="TOC Heading"/>
    <w:basedOn w:val="Heading1"/>
    <w:next w:val="Normal"/>
    <w:uiPriority w:val="39"/>
    <w:semiHidden/>
    <w:unhideWhenUsed/>
    <w:qFormat/>
    <w:rsid w:val="003F7EA1"/>
    <w:pPr>
      <w:spacing w:line="276" w:lineRule="auto"/>
      <w:outlineLvl w:val="9"/>
    </w:pPr>
    <w:rPr>
      <w:lang w:eastAsia="ja-JP"/>
    </w:rPr>
  </w:style>
  <w:style w:type="paragraph" w:styleId="TOC1">
    <w:name w:val="toc 1"/>
    <w:basedOn w:val="Normal"/>
    <w:next w:val="Normal"/>
    <w:autoRedefine/>
    <w:uiPriority w:val="39"/>
    <w:rsid w:val="003F7EA1"/>
    <w:pPr>
      <w:spacing w:after="100"/>
    </w:pPr>
  </w:style>
  <w:style w:type="paragraph" w:styleId="TOC2">
    <w:name w:val="toc 2"/>
    <w:basedOn w:val="Normal"/>
    <w:next w:val="Normal"/>
    <w:autoRedefine/>
    <w:uiPriority w:val="39"/>
    <w:rsid w:val="003F7EA1"/>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B42"/>
    <w:rPr>
      <w:sz w:val="24"/>
      <w:szCs w:val="24"/>
      <w:lang w:val="en-US" w:eastAsia="en-US"/>
    </w:rPr>
  </w:style>
  <w:style w:type="paragraph" w:styleId="Heading1">
    <w:name w:val="heading 1"/>
    <w:basedOn w:val="Normal"/>
    <w:next w:val="Normal"/>
    <w:link w:val="Heading1Char"/>
    <w:qFormat/>
    <w:rsid w:val="002403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A057C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7324E"/>
    <w:pPr>
      <w:spacing w:after="260"/>
      <w:ind w:left="720" w:hanging="720"/>
      <w:jc w:val="both"/>
    </w:pPr>
    <w:rPr>
      <w:sz w:val="26"/>
      <w:szCs w:val="20"/>
    </w:rPr>
  </w:style>
  <w:style w:type="character" w:customStyle="1" w:styleId="BodyTextChar">
    <w:name w:val="Body Text Char"/>
    <w:basedOn w:val="DefaultParagraphFont"/>
    <w:link w:val="BodyText"/>
    <w:rsid w:val="00E7324E"/>
    <w:rPr>
      <w:sz w:val="26"/>
      <w:lang w:val="en-US" w:eastAsia="en-US" w:bidi="ar-SA"/>
    </w:rPr>
  </w:style>
  <w:style w:type="paragraph" w:customStyle="1" w:styleId="Default">
    <w:name w:val="Default"/>
    <w:rsid w:val="00BC265F"/>
    <w:pPr>
      <w:widowControl w:val="0"/>
      <w:autoSpaceDE w:val="0"/>
      <w:autoSpaceDN w:val="0"/>
      <w:adjustRightInd w:val="0"/>
    </w:pPr>
    <w:rPr>
      <w:color w:val="000000"/>
      <w:sz w:val="24"/>
      <w:szCs w:val="24"/>
      <w:lang w:val="en-US" w:eastAsia="en-US"/>
    </w:rPr>
  </w:style>
  <w:style w:type="table" w:styleId="TableGrid">
    <w:name w:val="Table Grid"/>
    <w:basedOn w:val="TableNormal"/>
    <w:rsid w:val="009E0C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2D6ED5"/>
    <w:rPr>
      <w:sz w:val="16"/>
      <w:szCs w:val="16"/>
    </w:rPr>
  </w:style>
  <w:style w:type="paragraph" w:styleId="CommentText">
    <w:name w:val="annotation text"/>
    <w:basedOn w:val="Normal"/>
    <w:link w:val="CommentTextChar"/>
    <w:rsid w:val="002D6ED5"/>
    <w:rPr>
      <w:sz w:val="20"/>
      <w:szCs w:val="20"/>
    </w:rPr>
  </w:style>
  <w:style w:type="character" w:customStyle="1" w:styleId="CommentTextChar">
    <w:name w:val="Comment Text Char"/>
    <w:basedOn w:val="DefaultParagraphFont"/>
    <w:link w:val="CommentText"/>
    <w:rsid w:val="002D6ED5"/>
  </w:style>
  <w:style w:type="paragraph" w:styleId="CommentSubject">
    <w:name w:val="annotation subject"/>
    <w:basedOn w:val="CommentText"/>
    <w:next w:val="CommentText"/>
    <w:link w:val="CommentSubjectChar"/>
    <w:rsid w:val="002D6ED5"/>
    <w:rPr>
      <w:b/>
      <w:bCs/>
    </w:rPr>
  </w:style>
  <w:style w:type="character" w:customStyle="1" w:styleId="CommentSubjectChar">
    <w:name w:val="Comment Subject Char"/>
    <w:basedOn w:val="CommentTextChar"/>
    <w:link w:val="CommentSubject"/>
    <w:rsid w:val="002D6ED5"/>
    <w:rPr>
      <w:b/>
      <w:bCs/>
    </w:rPr>
  </w:style>
  <w:style w:type="paragraph" w:styleId="BalloonText">
    <w:name w:val="Balloon Text"/>
    <w:basedOn w:val="Normal"/>
    <w:link w:val="BalloonTextChar"/>
    <w:rsid w:val="002D6ED5"/>
    <w:rPr>
      <w:rFonts w:ascii="Tahoma" w:hAnsi="Tahoma" w:cs="Tahoma"/>
      <w:sz w:val="16"/>
      <w:szCs w:val="16"/>
    </w:rPr>
  </w:style>
  <w:style w:type="character" w:customStyle="1" w:styleId="BalloonTextChar">
    <w:name w:val="Balloon Text Char"/>
    <w:basedOn w:val="DefaultParagraphFont"/>
    <w:link w:val="BalloonText"/>
    <w:rsid w:val="002D6ED5"/>
    <w:rPr>
      <w:rFonts w:ascii="Tahoma" w:hAnsi="Tahoma" w:cs="Tahoma"/>
      <w:sz w:val="16"/>
      <w:szCs w:val="16"/>
    </w:rPr>
  </w:style>
  <w:style w:type="paragraph" w:styleId="Header">
    <w:name w:val="header"/>
    <w:basedOn w:val="Normal"/>
    <w:rsid w:val="00DD7540"/>
    <w:pPr>
      <w:tabs>
        <w:tab w:val="center" w:pos="4320"/>
        <w:tab w:val="right" w:pos="8640"/>
      </w:tabs>
    </w:pPr>
  </w:style>
  <w:style w:type="paragraph" w:styleId="Footer">
    <w:name w:val="footer"/>
    <w:basedOn w:val="Normal"/>
    <w:link w:val="FooterChar"/>
    <w:uiPriority w:val="99"/>
    <w:rsid w:val="00DD7540"/>
    <w:pPr>
      <w:tabs>
        <w:tab w:val="center" w:pos="4320"/>
        <w:tab w:val="right" w:pos="8640"/>
      </w:tabs>
    </w:pPr>
  </w:style>
  <w:style w:type="character" w:customStyle="1" w:styleId="zzmpTrailerItem">
    <w:name w:val="zzmpTrailerItem"/>
    <w:basedOn w:val="DefaultParagraphFont"/>
    <w:rsid w:val="003D17FA"/>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semiHidden/>
    <w:rsid w:val="00B06247"/>
    <w:pPr>
      <w:keepLines/>
      <w:spacing w:after="120" w:line="240" w:lineRule="exact"/>
      <w:jc w:val="both"/>
    </w:pPr>
    <w:rPr>
      <w:color w:val="000000"/>
      <w:szCs w:val="20"/>
    </w:rPr>
  </w:style>
  <w:style w:type="character" w:styleId="FootnoteReference">
    <w:name w:val="footnote reference"/>
    <w:basedOn w:val="DefaultParagraphFont"/>
    <w:semiHidden/>
    <w:rsid w:val="00B06247"/>
    <w:rPr>
      <w:vertAlign w:val="superscript"/>
    </w:rPr>
  </w:style>
  <w:style w:type="character" w:styleId="PageNumber">
    <w:name w:val="page number"/>
    <w:basedOn w:val="DefaultParagraphFont"/>
    <w:rsid w:val="00B06247"/>
  </w:style>
  <w:style w:type="paragraph" w:styleId="EndnoteText">
    <w:name w:val="endnote text"/>
    <w:basedOn w:val="Normal"/>
    <w:link w:val="EndnoteTextChar"/>
    <w:rsid w:val="00FD48F8"/>
    <w:rPr>
      <w:sz w:val="20"/>
      <w:szCs w:val="20"/>
    </w:rPr>
  </w:style>
  <w:style w:type="character" w:customStyle="1" w:styleId="EndnoteTextChar">
    <w:name w:val="Endnote Text Char"/>
    <w:basedOn w:val="DefaultParagraphFont"/>
    <w:link w:val="EndnoteText"/>
    <w:rsid w:val="00FD48F8"/>
    <w:rPr>
      <w:lang w:val="en-US" w:eastAsia="en-US"/>
    </w:rPr>
  </w:style>
  <w:style w:type="character" w:styleId="EndnoteReference">
    <w:name w:val="endnote reference"/>
    <w:basedOn w:val="DefaultParagraphFont"/>
    <w:rsid w:val="00FD48F8"/>
    <w:rPr>
      <w:vertAlign w:val="superscript"/>
    </w:rPr>
  </w:style>
  <w:style w:type="character" w:customStyle="1" w:styleId="FooterChar">
    <w:name w:val="Footer Char"/>
    <w:basedOn w:val="DefaultParagraphFont"/>
    <w:link w:val="Footer"/>
    <w:uiPriority w:val="99"/>
    <w:rsid w:val="005624AF"/>
    <w:rPr>
      <w:sz w:val="24"/>
      <w:szCs w:val="24"/>
      <w:lang w:val="en-US" w:eastAsia="en-US"/>
    </w:rPr>
  </w:style>
  <w:style w:type="paragraph" w:styleId="NormalWeb">
    <w:name w:val="Normal (Web)"/>
    <w:basedOn w:val="Normal"/>
    <w:uiPriority w:val="99"/>
    <w:unhideWhenUsed/>
    <w:rsid w:val="008A66D1"/>
    <w:pPr>
      <w:spacing w:before="100" w:beforeAutospacing="1" w:after="100" w:afterAutospacing="1"/>
    </w:pPr>
    <w:rPr>
      <w:rFonts w:eastAsiaTheme="minorEastAsia"/>
    </w:rPr>
  </w:style>
  <w:style w:type="paragraph" w:styleId="ListParagraph">
    <w:name w:val="List Paragraph"/>
    <w:basedOn w:val="Normal"/>
    <w:uiPriority w:val="34"/>
    <w:qFormat/>
    <w:rsid w:val="00502931"/>
    <w:pPr>
      <w:ind w:left="720"/>
      <w:contextualSpacing/>
    </w:pPr>
  </w:style>
  <w:style w:type="character" w:customStyle="1" w:styleId="Heading1Char">
    <w:name w:val="Heading 1 Char"/>
    <w:basedOn w:val="DefaultParagraphFont"/>
    <w:link w:val="Heading1"/>
    <w:rsid w:val="0024031F"/>
    <w:rPr>
      <w:rFonts w:asciiTheme="majorHAnsi" w:eastAsiaTheme="majorEastAsia" w:hAnsiTheme="majorHAnsi" w:cstheme="majorBidi"/>
      <w:b/>
      <w:bCs/>
      <w:color w:val="365F91" w:themeColor="accent1" w:themeShade="BF"/>
      <w:sz w:val="28"/>
      <w:szCs w:val="28"/>
      <w:lang w:val="en-US" w:eastAsia="en-US"/>
    </w:rPr>
  </w:style>
  <w:style w:type="paragraph" w:styleId="Subtitle">
    <w:name w:val="Subtitle"/>
    <w:basedOn w:val="Heading2"/>
    <w:next w:val="Normal"/>
    <w:link w:val="SubtitleChar"/>
    <w:qFormat/>
    <w:rsid w:val="000E6C2E"/>
    <w:pPr>
      <w:numPr>
        <w:ilvl w:val="1"/>
      </w:numPr>
    </w:pPr>
    <w:rPr>
      <w:i/>
      <w:iCs/>
      <w:spacing w:val="15"/>
    </w:rPr>
  </w:style>
  <w:style w:type="character" w:customStyle="1" w:styleId="SubtitleChar">
    <w:name w:val="Subtitle Char"/>
    <w:basedOn w:val="DefaultParagraphFont"/>
    <w:link w:val="Subtitle"/>
    <w:rsid w:val="00A057C0"/>
    <w:rPr>
      <w:rFonts w:asciiTheme="majorHAnsi" w:eastAsiaTheme="majorEastAsia" w:hAnsiTheme="majorHAnsi" w:cstheme="majorBidi"/>
      <w:b/>
      <w:bCs/>
      <w:i/>
      <w:iCs/>
      <w:color w:val="4F81BD" w:themeColor="accent1"/>
      <w:spacing w:val="15"/>
      <w:sz w:val="26"/>
      <w:szCs w:val="26"/>
      <w:lang w:val="en-US" w:eastAsia="en-US"/>
    </w:rPr>
  </w:style>
  <w:style w:type="character" w:styleId="Hyperlink">
    <w:name w:val="Hyperlink"/>
    <w:basedOn w:val="DefaultParagraphFont"/>
    <w:uiPriority w:val="99"/>
    <w:rsid w:val="00A863A9"/>
    <w:rPr>
      <w:color w:val="0000FF" w:themeColor="hyperlink"/>
      <w:u w:val="single"/>
    </w:rPr>
  </w:style>
  <w:style w:type="character" w:customStyle="1" w:styleId="Heading2Char">
    <w:name w:val="Heading 2 Char"/>
    <w:basedOn w:val="DefaultParagraphFont"/>
    <w:link w:val="Heading2"/>
    <w:semiHidden/>
    <w:rsid w:val="00A057C0"/>
    <w:rPr>
      <w:rFonts w:asciiTheme="majorHAnsi" w:eastAsiaTheme="majorEastAsia" w:hAnsiTheme="majorHAnsi" w:cstheme="majorBidi"/>
      <w:b/>
      <w:bCs/>
      <w:color w:val="4F81BD" w:themeColor="accent1"/>
      <w:sz w:val="26"/>
      <w:szCs w:val="26"/>
      <w:lang w:val="en-US" w:eastAsia="en-US"/>
    </w:rPr>
  </w:style>
  <w:style w:type="paragraph" w:styleId="NoSpacing">
    <w:name w:val="No Spacing"/>
    <w:link w:val="NoSpacingChar"/>
    <w:uiPriority w:val="1"/>
    <w:qFormat/>
    <w:rsid w:val="0020379D"/>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0379D"/>
    <w:rPr>
      <w:rFonts w:asciiTheme="minorHAnsi" w:eastAsiaTheme="minorEastAsia" w:hAnsiTheme="minorHAnsi" w:cstheme="minorBidi"/>
      <w:sz w:val="22"/>
      <w:szCs w:val="22"/>
      <w:lang w:val="en-US" w:eastAsia="ja-JP"/>
    </w:rPr>
  </w:style>
  <w:style w:type="paragraph" w:styleId="TOCHeading">
    <w:name w:val="TOC Heading"/>
    <w:basedOn w:val="Heading1"/>
    <w:next w:val="Normal"/>
    <w:uiPriority w:val="39"/>
    <w:semiHidden/>
    <w:unhideWhenUsed/>
    <w:qFormat/>
    <w:rsid w:val="003F7EA1"/>
    <w:pPr>
      <w:spacing w:line="276" w:lineRule="auto"/>
      <w:outlineLvl w:val="9"/>
    </w:pPr>
    <w:rPr>
      <w:lang w:eastAsia="ja-JP"/>
    </w:rPr>
  </w:style>
  <w:style w:type="paragraph" w:styleId="TOC1">
    <w:name w:val="toc 1"/>
    <w:basedOn w:val="Normal"/>
    <w:next w:val="Normal"/>
    <w:autoRedefine/>
    <w:uiPriority w:val="39"/>
    <w:rsid w:val="003F7EA1"/>
    <w:pPr>
      <w:spacing w:after="100"/>
    </w:pPr>
  </w:style>
  <w:style w:type="paragraph" w:styleId="TOC2">
    <w:name w:val="toc 2"/>
    <w:basedOn w:val="Normal"/>
    <w:next w:val="Normal"/>
    <w:autoRedefine/>
    <w:uiPriority w:val="39"/>
    <w:rsid w:val="003F7EA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7766">
      <w:bodyDiv w:val="1"/>
      <w:marLeft w:val="0"/>
      <w:marRight w:val="0"/>
      <w:marTop w:val="0"/>
      <w:marBottom w:val="0"/>
      <w:divBdr>
        <w:top w:val="none" w:sz="0" w:space="0" w:color="auto"/>
        <w:left w:val="none" w:sz="0" w:space="0" w:color="auto"/>
        <w:bottom w:val="none" w:sz="0" w:space="0" w:color="auto"/>
        <w:right w:val="none" w:sz="0" w:space="0" w:color="auto"/>
      </w:divBdr>
    </w:div>
    <w:div w:id="232394330">
      <w:bodyDiv w:val="1"/>
      <w:marLeft w:val="0"/>
      <w:marRight w:val="0"/>
      <w:marTop w:val="0"/>
      <w:marBottom w:val="0"/>
      <w:divBdr>
        <w:top w:val="none" w:sz="0" w:space="0" w:color="auto"/>
        <w:left w:val="none" w:sz="0" w:space="0" w:color="auto"/>
        <w:bottom w:val="none" w:sz="0" w:space="0" w:color="auto"/>
        <w:right w:val="none" w:sz="0" w:space="0" w:color="auto"/>
      </w:divBdr>
    </w:div>
    <w:div w:id="238099858">
      <w:bodyDiv w:val="1"/>
      <w:marLeft w:val="0"/>
      <w:marRight w:val="0"/>
      <w:marTop w:val="0"/>
      <w:marBottom w:val="0"/>
      <w:divBdr>
        <w:top w:val="none" w:sz="0" w:space="0" w:color="auto"/>
        <w:left w:val="none" w:sz="0" w:space="0" w:color="auto"/>
        <w:bottom w:val="none" w:sz="0" w:space="0" w:color="auto"/>
        <w:right w:val="none" w:sz="0" w:space="0" w:color="auto"/>
      </w:divBdr>
    </w:div>
    <w:div w:id="357044690">
      <w:bodyDiv w:val="1"/>
      <w:marLeft w:val="0"/>
      <w:marRight w:val="0"/>
      <w:marTop w:val="0"/>
      <w:marBottom w:val="0"/>
      <w:divBdr>
        <w:top w:val="none" w:sz="0" w:space="0" w:color="auto"/>
        <w:left w:val="none" w:sz="0" w:space="0" w:color="auto"/>
        <w:bottom w:val="none" w:sz="0" w:space="0" w:color="auto"/>
        <w:right w:val="none" w:sz="0" w:space="0" w:color="auto"/>
      </w:divBdr>
    </w:div>
    <w:div w:id="1731728457">
      <w:bodyDiv w:val="1"/>
      <w:marLeft w:val="0"/>
      <w:marRight w:val="0"/>
      <w:marTop w:val="0"/>
      <w:marBottom w:val="0"/>
      <w:divBdr>
        <w:top w:val="none" w:sz="0" w:space="0" w:color="auto"/>
        <w:left w:val="none" w:sz="0" w:space="0" w:color="auto"/>
        <w:bottom w:val="none" w:sz="0" w:space="0" w:color="auto"/>
        <w:right w:val="none" w:sz="0" w:space="0" w:color="auto"/>
      </w:divBdr>
    </w:div>
    <w:div w:id="196785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5.jpeg"/><Relationship Id="rId18" Type="http://schemas.openxmlformats.org/officeDocument/2006/relationships/footer" Target="footer2.xml"/><Relationship Id="rId26" Type="http://schemas.openxmlformats.org/officeDocument/2006/relationships/hyperlink" Target="http://www.naruc.org/Publications/Guidelines%20for%20Cost%20Allocations%20and%20Affiliate%20Transactions.pdf" TargetMode="External"/><Relationship Id="rId3" Type="http://schemas.openxmlformats.org/officeDocument/2006/relationships/customXml" Target="../customXml/item3.xml"/><Relationship Id="rId21" Type="http://schemas.openxmlformats.org/officeDocument/2006/relationships/diagramData" Target="diagrams/data1.xml"/><Relationship Id="rId7" Type="http://schemas.microsoft.com/office/2007/relationships/stylesWithEffects" Target="stylesWithEffects.xml"/><Relationship Id="rId12" Type="http://schemas.openxmlformats.org/officeDocument/2006/relationships/image" Target="media/image4.jpeg"/><Relationship Id="rId17" Type="http://schemas.openxmlformats.org/officeDocument/2006/relationships/footer" Target="footer1.xml"/><Relationship Id="rId25"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diagramColors" Target="diagrams/colors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diagramQuickStyle" Target="diagrams/quickStyle1.xml"/><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6.jpeg"/><Relationship Id="rId22" Type="http://schemas.openxmlformats.org/officeDocument/2006/relationships/diagramLayout" Target="diagrams/layout1.xml"/><Relationship Id="rId27" Type="http://schemas.openxmlformats.org/officeDocument/2006/relationships/image" Target="media/image8.emf"/><Relationship Id="rId30" Type="http://schemas.openxmlformats.org/officeDocument/2006/relationships/header" Target="header3.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F7D467A-04B9-4055-A4D4-2A7C79079EE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CA"/>
        </a:p>
      </dgm:t>
    </dgm:pt>
    <dgm:pt modelId="{5D7C5E23-B77F-415A-A5D8-21A1144633A7}">
      <dgm:prSet phldrT="[Text]" custT="1"/>
      <dgm:spPr/>
      <dgm:t>
        <a:bodyPr/>
        <a:lstStyle/>
        <a:p>
          <a:r>
            <a:rPr lang="en-CA" sz="1400" b="1" dirty="0" smtClean="0"/>
            <a:t>APUC</a:t>
          </a:r>
          <a:endParaRPr lang="en-CA" sz="1400" b="1" dirty="0"/>
        </a:p>
      </dgm:t>
    </dgm:pt>
    <dgm:pt modelId="{2E5445FC-644B-4428-851B-3093A370F705}" type="parTrans" cxnId="{0A7DA6AF-B07A-465C-9CE1-9CC1F275689F}">
      <dgm:prSet/>
      <dgm:spPr/>
      <dgm:t>
        <a:bodyPr/>
        <a:lstStyle/>
        <a:p>
          <a:endParaRPr lang="en-CA" sz="1100"/>
        </a:p>
      </dgm:t>
    </dgm:pt>
    <dgm:pt modelId="{889D801E-7D94-4E2D-B74A-C7CAB4E99462}" type="sibTrans" cxnId="{0A7DA6AF-B07A-465C-9CE1-9CC1F275689F}">
      <dgm:prSet/>
      <dgm:spPr/>
      <dgm:t>
        <a:bodyPr/>
        <a:lstStyle/>
        <a:p>
          <a:endParaRPr lang="en-CA" sz="1100"/>
        </a:p>
      </dgm:t>
    </dgm:pt>
    <dgm:pt modelId="{B1F73704-A701-4397-9073-0A3C1C734BC6}" type="asst">
      <dgm:prSet phldrT="[Text]" custT="1"/>
      <dgm:spPr/>
      <dgm:t>
        <a:bodyPr/>
        <a:lstStyle/>
        <a:p>
          <a:r>
            <a:rPr lang="en-CA" sz="1100" b="1" dirty="0" smtClean="0"/>
            <a:t>APCO</a:t>
          </a:r>
          <a:endParaRPr lang="en-CA" sz="1100" b="1" dirty="0"/>
        </a:p>
      </dgm:t>
    </dgm:pt>
    <dgm:pt modelId="{1469B740-6D94-41D1-A1CB-6BFBF1C2BA10}" type="parTrans" cxnId="{54257B32-533E-43DA-8B9F-F2291F057611}">
      <dgm:prSet/>
      <dgm:spPr/>
      <dgm:t>
        <a:bodyPr/>
        <a:lstStyle/>
        <a:p>
          <a:endParaRPr lang="en-CA" sz="1100"/>
        </a:p>
      </dgm:t>
    </dgm:pt>
    <dgm:pt modelId="{EFDBA6AF-06FB-4342-9C15-F87EA97EA2B6}" type="sibTrans" cxnId="{54257B32-533E-43DA-8B9F-F2291F057611}">
      <dgm:prSet/>
      <dgm:spPr/>
      <dgm:t>
        <a:bodyPr/>
        <a:lstStyle/>
        <a:p>
          <a:endParaRPr lang="en-CA" sz="1100"/>
        </a:p>
      </dgm:t>
    </dgm:pt>
    <dgm:pt modelId="{1CB9F29C-E2D8-4533-BB0A-6871F955EB6F}" type="asst">
      <dgm:prSet phldrT="[Text]" custT="1"/>
      <dgm:spPr/>
      <dgm:t>
        <a:bodyPr/>
        <a:lstStyle/>
        <a:p>
          <a:r>
            <a:rPr lang="en-CA" sz="1100" dirty="0" smtClean="0"/>
            <a:t> Unregulated Facilities</a:t>
          </a:r>
          <a:endParaRPr lang="en-CA" sz="1100" dirty="0"/>
        </a:p>
      </dgm:t>
    </dgm:pt>
    <dgm:pt modelId="{04BEFAD8-EFCD-4860-B544-0964751A31EF}" type="parTrans" cxnId="{9D52D09D-4FF2-4673-B25D-09A7D5DA52BF}">
      <dgm:prSet/>
      <dgm:spPr/>
      <dgm:t>
        <a:bodyPr/>
        <a:lstStyle/>
        <a:p>
          <a:endParaRPr lang="en-CA"/>
        </a:p>
      </dgm:t>
    </dgm:pt>
    <dgm:pt modelId="{A1EB253F-FC97-4686-958D-1D711E637F40}" type="sibTrans" cxnId="{9D52D09D-4FF2-4673-B25D-09A7D5DA52BF}">
      <dgm:prSet/>
      <dgm:spPr/>
      <dgm:t>
        <a:bodyPr/>
        <a:lstStyle/>
        <a:p>
          <a:endParaRPr lang="en-CA"/>
        </a:p>
      </dgm:t>
    </dgm:pt>
    <dgm:pt modelId="{51E3ACC0-E4F1-441E-A87E-3B95392BC5F0}" type="asst">
      <dgm:prSet phldrT="[Text]" custT="1"/>
      <dgm:spPr/>
      <dgm:t>
        <a:bodyPr/>
        <a:lstStyle/>
        <a:p>
          <a:r>
            <a:rPr lang="en-CA" sz="1100" b="1" dirty="0" smtClean="0"/>
            <a:t>LUC</a:t>
          </a:r>
          <a:endParaRPr lang="en-CA" sz="1100" b="1" dirty="0"/>
        </a:p>
      </dgm:t>
    </dgm:pt>
    <dgm:pt modelId="{4375C46E-09F2-4A06-AD2A-293C8CA50914}" type="parTrans" cxnId="{956C6325-C42A-44DD-A093-A0563C33C550}">
      <dgm:prSet/>
      <dgm:spPr/>
      <dgm:t>
        <a:bodyPr/>
        <a:lstStyle/>
        <a:p>
          <a:endParaRPr lang="en-CA"/>
        </a:p>
      </dgm:t>
    </dgm:pt>
    <dgm:pt modelId="{B59C3552-5359-45B8-88FA-68B5A4871DB8}" type="sibTrans" cxnId="{956C6325-C42A-44DD-A093-A0563C33C550}">
      <dgm:prSet/>
      <dgm:spPr/>
      <dgm:t>
        <a:bodyPr/>
        <a:lstStyle/>
        <a:p>
          <a:endParaRPr lang="en-CA"/>
        </a:p>
      </dgm:t>
    </dgm:pt>
    <dgm:pt modelId="{ED1A6CE7-3CBF-4E16-A079-4D27C716F781}" type="asst">
      <dgm:prSet phldrT="[Text]" custT="1"/>
      <dgm:spPr/>
      <dgm:t>
        <a:bodyPr/>
        <a:lstStyle/>
        <a:p>
          <a:r>
            <a:rPr lang="en-CA" sz="1100" dirty="0"/>
            <a:t>Gas,</a:t>
          </a:r>
          <a:r>
            <a:rPr lang="en-CA" sz="1100" baseline="0" dirty="0"/>
            <a:t> Electric, Water &amp; Wastewater regulated utilities</a:t>
          </a:r>
          <a:endParaRPr lang="en-CA" sz="1100" dirty="0"/>
        </a:p>
      </dgm:t>
    </dgm:pt>
    <dgm:pt modelId="{58E5FE36-DC21-41A6-AA84-51714C63CF75}" type="parTrans" cxnId="{129A831B-6F44-47E1-A6CD-057476D4609D}">
      <dgm:prSet/>
      <dgm:spPr/>
      <dgm:t>
        <a:bodyPr/>
        <a:lstStyle/>
        <a:p>
          <a:endParaRPr lang="en-CA"/>
        </a:p>
      </dgm:t>
    </dgm:pt>
    <dgm:pt modelId="{AA6A80CB-7F12-46C2-8333-B6EE8C07454C}" type="sibTrans" cxnId="{129A831B-6F44-47E1-A6CD-057476D4609D}">
      <dgm:prSet/>
      <dgm:spPr/>
      <dgm:t>
        <a:bodyPr/>
        <a:lstStyle/>
        <a:p>
          <a:endParaRPr lang="en-CA"/>
        </a:p>
      </dgm:t>
    </dgm:pt>
    <dgm:pt modelId="{56474B00-4A1D-48B4-A6FB-306BED540913}" type="pres">
      <dgm:prSet presAssocID="{CF7D467A-04B9-4055-A4D4-2A7C79079EE5}" presName="hierChild1" presStyleCnt="0">
        <dgm:presLayoutVars>
          <dgm:orgChart val="1"/>
          <dgm:chPref val="1"/>
          <dgm:dir/>
          <dgm:animOne val="branch"/>
          <dgm:animLvl val="lvl"/>
          <dgm:resizeHandles/>
        </dgm:presLayoutVars>
      </dgm:prSet>
      <dgm:spPr/>
      <dgm:t>
        <a:bodyPr/>
        <a:lstStyle/>
        <a:p>
          <a:endParaRPr lang="en-CA"/>
        </a:p>
      </dgm:t>
    </dgm:pt>
    <dgm:pt modelId="{FF13B152-3484-4D37-9BA3-8D483514B69C}" type="pres">
      <dgm:prSet presAssocID="{5D7C5E23-B77F-415A-A5D8-21A1144633A7}" presName="hierRoot1" presStyleCnt="0">
        <dgm:presLayoutVars>
          <dgm:hierBranch val="init"/>
        </dgm:presLayoutVars>
      </dgm:prSet>
      <dgm:spPr/>
    </dgm:pt>
    <dgm:pt modelId="{A36784AE-070C-4612-90CA-8B4E8AE4167A}" type="pres">
      <dgm:prSet presAssocID="{5D7C5E23-B77F-415A-A5D8-21A1144633A7}" presName="rootComposite1" presStyleCnt="0"/>
      <dgm:spPr/>
    </dgm:pt>
    <dgm:pt modelId="{440B0295-07E7-4779-A491-A360C50EE358}" type="pres">
      <dgm:prSet presAssocID="{5D7C5E23-B77F-415A-A5D8-21A1144633A7}" presName="rootText1" presStyleLbl="node0" presStyleIdx="0" presStyleCnt="1" custScaleY="69446" custLinFactNeighborX="60162" custLinFactNeighborY="-61">
        <dgm:presLayoutVars>
          <dgm:chPref val="3"/>
        </dgm:presLayoutVars>
      </dgm:prSet>
      <dgm:spPr/>
      <dgm:t>
        <a:bodyPr/>
        <a:lstStyle/>
        <a:p>
          <a:endParaRPr lang="en-CA"/>
        </a:p>
      </dgm:t>
    </dgm:pt>
    <dgm:pt modelId="{448E9120-981C-4E2A-890C-0CB4B5EDCB17}" type="pres">
      <dgm:prSet presAssocID="{5D7C5E23-B77F-415A-A5D8-21A1144633A7}" presName="rootConnector1" presStyleLbl="node1" presStyleIdx="0" presStyleCnt="0"/>
      <dgm:spPr/>
      <dgm:t>
        <a:bodyPr/>
        <a:lstStyle/>
        <a:p>
          <a:endParaRPr lang="en-CA"/>
        </a:p>
      </dgm:t>
    </dgm:pt>
    <dgm:pt modelId="{B25CCEE3-1030-4B1D-BCBE-45874BB1974B}" type="pres">
      <dgm:prSet presAssocID="{5D7C5E23-B77F-415A-A5D8-21A1144633A7}" presName="hierChild2" presStyleCnt="0"/>
      <dgm:spPr/>
    </dgm:pt>
    <dgm:pt modelId="{D8C1C985-03B0-4BE6-8615-DC93A9C48D18}" type="pres">
      <dgm:prSet presAssocID="{5D7C5E23-B77F-415A-A5D8-21A1144633A7}" presName="hierChild3" presStyleCnt="0"/>
      <dgm:spPr/>
    </dgm:pt>
    <dgm:pt modelId="{AD6C24C2-6AB7-43CA-8609-FA57D6B164A2}" type="pres">
      <dgm:prSet presAssocID="{1469B740-6D94-41D1-A1CB-6BFBF1C2BA10}" presName="Name111" presStyleLbl="parChTrans1D2" presStyleIdx="0" presStyleCnt="2" custSzY="371432"/>
      <dgm:spPr/>
      <dgm:t>
        <a:bodyPr/>
        <a:lstStyle/>
        <a:p>
          <a:endParaRPr lang="en-CA"/>
        </a:p>
      </dgm:t>
    </dgm:pt>
    <dgm:pt modelId="{18C6DEE7-0EDA-4406-8925-471805718DDE}" type="pres">
      <dgm:prSet presAssocID="{B1F73704-A701-4397-9073-0A3C1C734BC6}" presName="hierRoot3" presStyleCnt="0">
        <dgm:presLayoutVars>
          <dgm:hierBranch val="init"/>
        </dgm:presLayoutVars>
      </dgm:prSet>
      <dgm:spPr/>
    </dgm:pt>
    <dgm:pt modelId="{F27BA537-74C1-400F-8E0F-92771AB5CD81}" type="pres">
      <dgm:prSet presAssocID="{B1F73704-A701-4397-9073-0A3C1C734BC6}" presName="rootComposite3" presStyleCnt="0"/>
      <dgm:spPr/>
    </dgm:pt>
    <dgm:pt modelId="{6DCCC2AA-C0BB-4548-A841-F0D7C3078B7F}" type="pres">
      <dgm:prSet presAssocID="{B1F73704-A701-4397-9073-0A3C1C734BC6}" presName="rootText3" presStyleLbl="asst1" presStyleIdx="0" presStyleCnt="4" custScaleY="69446">
        <dgm:presLayoutVars>
          <dgm:chPref val="3"/>
        </dgm:presLayoutVars>
      </dgm:prSet>
      <dgm:spPr/>
      <dgm:t>
        <a:bodyPr/>
        <a:lstStyle/>
        <a:p>
          <a:endParaRPr lang="en-CA"/>
        </a:p>
      </dgm:t>
    </dgm:pt>
    <dgm:pt modelId="{CE2176DF-9957-45CC-94F4-A7F1645DCFB4}" type="pres">
      <dgm:prSet presAssocID="{B1F73704-A701-4397-9073-0A3C1C734BC6}" presName="rootConnector3" presStyleLbl="asst1" presStyleIdx="0" presStyleCnt="4"/>
      <dgm:spPr/>
      <dgm:t>
        <a:bodyPr/>
        <a:lstStyle/>
        <a:p>
          <a:endParaRPr lang="en-CA"/>
        </a:p>
      </dgm:t>
    </dgm:pt>
    <dgm:pt modelId="{B06B7879-2F75-4BFB-81E2-689F66BE3B44}" type="pres">
      <dgm:prSet presAssocID="{B1F73704-A701-4397-9073-0A3C1C734BC6}" presName="hierChild6" presStyleCnt="0"/>
      <dgm:spPr/>
    </dgm:pt>
    <dgm:pt modelId="{5DBDC0F1-B5E5-4AAE-8AE4-B37D2556581B}" type="pres">
      <dgm:prSet presAssocID="{B1F73704-A701-4397-9073-0A3C1C734BC6}" presName="hierChild7" presStyleCnt="0"/>
      <dgm:spPr/>
    </dgm:pt>
    <dgm:pt modelId="{A3867A86-E746-44BB-A95C-6A49D541955D}" type="pres">
      <dgm:prSet presAssocID="{04BEFAD8-EFCD-4860-B544-0964751A31EF}" presName="Name111" presStyleLbl="parChTrans1D3" presStyleIdx="0" presStyleCnt="2" custSzY="371432"/>
      <dgm:spPr/>
      <dgm:t>
        <a:bodyPr/>
        <a:lstStyle/>
        <a:p>
          <a:endParaRPr lang="en-CA"/>
        </a:p>
      </dgm:t>
    </dgm:pt>
    <dgm:pt modelId="{58570422-6AE9-4796-8F84-86B1627293CD}" type="pres">
      <dgm:prSet presAssocID="{1CB9F29C-E2D8-4533-BB0A-6871F955EB6F}" presName="hierRoot3" presStyleCnt="0">
        <dgm:presLayoutVars>
          <dgm:hierBranch val="init"/>
        </dgm:presLayoutVars>
      </dgm:prSet>
      <dgm:spPr/>
    </dgm:pt>
    <dgm:pt modelId="{90A999A1-C741-428C-8BE8-0DD064FFCBDE}" type="pres">
      <dgm:prSet presAssocID="{1CB9F29C-E2D8-4533-BB0A-6871F955EB6F}" presName="rootComposite3" presStyleCnt="0"/>
      <dgm:spPr/>
    </dgm:pt>
    <dgm:pt modelId="{1A73CC9C-997E-41F4-B7EA-343773B53BF6}" type="pres">
      <dgm:prSet presAssocID="{1CB9F29C-E2D8-4533-BB0A-6871F955EB6F}" presName="rootText3" presStyleLbl="asst1" presStyleIdx="1" presStyleCnt="4" custScaleY="69446">
        <dgm:presLayoutVars>
          <dgm:chPref val="3"/>
        </dgm:presLayoutVars>
      </dgm:prSet>
      <dgm:spPr/>
      <dgm:t>
        <a:bodyPr/>
        <a:lstStyle/>
        <a:p>
          <a:endParaRPr lang="en-CA"/>
        </a:p>
      </dgm:t>
    </dgm:pt>
    <dgm:pt modelId="{AAE2FDBA-B055-4D6C-B746-90110E3C3834}" type="pres">
      <dgm:prSet presAssocID="{1CB9F29C-E2D8-4533-BB0A-6871F955EB6F}" presName="rootConnector3" presStyleLbl="asst1" presStyleIdx="1" presStyleCnt="4"/>
      <dgm:spPr/>
      <dgm:t>
        <a:bodyPr/>
        <a:lstStyle/>
        <a:p>
          <a:endParaRPr lang="en-CA"/>
        </a:p>
      </dgm:t>
    </dgm:pt>
    <dgm:pt modelId="{9F3E3DEB-5DEF-459D-9ADF-DB1C630E132A}" type="pres">
      <dgm:prSet presAssocID="{1CB9F29C-E2D8-4533-BB0A-6871F955EB6F}" presName="hierChild6" presStyleCnt="0"/>
      <dgm:spPr/>
    </dgm:pt>
    <dgm:pt modelId="{8D7AB170-BB22-4957-95B7-DA5F75AB03F5}" type="pres">
      <dgm:prSet presAssocID="{1CB9F29C-E2D8-4533-BB0A-6871F955EB6F}" presName="hierChild7" presStyleCnt="0"/>
      <dgm:spPr/>
    </dgm:pt>
    <dgm:pt modelId="{23933A85-FC89-4D1F-BED6-D9F8C51E74CF}" type="pres">
      <dgm:prSet presAssocID="{4375C46E-09F2-4A06-AD2A-293C8CA50914}" presName="Name111" presStyleLbl="parChTrans1D2" presStyleIdx="1" presStyleCnt="2" custSzY="371432"/>
      <dgm:spPr/>
      <dgm:t>
        <a:bodyPr/>
        <a:lstStyle/>
        <a:p>
          <a:endParaRPr lang="en-CA"/>
        </a:p>
      </dgm:t>
    </dgm:pt>
    <dgm:pt modelId="{AA96095D-BDB0-433C-ADA7-CB49FECA5539}" type="pres">
      <dgm:prSet presAssocID="{51E3ACC0-E4F1-441E-A87E-3B95392BC5F0}" presName="hierRoot3" presStyleCnt="0">
        <dgm:presLayoutVars>
          <dgm:hierBranch val="init"/>
        </dgm:presLayoutVars>
      </dgm:prSet>
      <dgm:spPr/>
    </dgm:pt>
    <dgm:pt modelId="{027B4EEF-F5C2-40A5-8333-113CE8AB3B44}" type="pres">
      <dgm:prSet presAssocID="{51E3ACC0-E4F1-441E-A87E-3B95392BC5F0}" presName="rootComposite3" presStyleCnt="0"/>
      <dgm:spPr/>
    </dgm:pt>
    <dgm:pt modelId="{F3B36E20-9035-436C-9F73-316F545D4211}" type="pres">
      <dgm:prSet presAssocID="{51E3ACC0-E4F1-441E-A87E-3B95392BC5F0}" presName="rootText3" presStyleLbl="asst1" presStyleIdx="2" presStyleCnt="4" custScaleY="69446" custLinFactNeighborY="4313">
        <dgm:presLayoutVars>
          <dgm:chPref val="3"/>
        </dgm:presLayoutVars>
      </dgm:prSet>
      <dgm:spPr/>
      <dgm:t>
        <a:bodyPr/>
        <a:lstStyle/>
        <a:p>
          <a:endParaRPr lang="en-CA"/>
        </a:p>
      </dgm:t>
    </dgm:pt>
    <dgm:pt modelId="{7B665789-B95E-4FE3-A3BB-9E1BB8EB2B7B}" type="pres">
      <dgm:prSet presAssocID="{51E3ACC0-E4F1-441E-A87E-3B95392BC5F0}" presName="rootConnector3" presStyleLbl="asst1" presStyleIdx="2" presStyleCnt="4"/>
      <dgm:spPr/>
      <dgm:t>
        <a:bodyPr/>
        <a:lstStyle/>
        <a:p>
          <a:endParaRPr lang="en-CA"/>
        </a:p>
      </dgm:t>
    </dgm:pt>
    <dgm:pt modelId="{3959F41C-AA91-44A2-A56C-549DE3F562A0}" type="pres">
      <dgm:prSet presAssocID="{51E3ACC0-E4F1-441E-A87E-3B95392BC5F0}" presName="hierChild6" presStyleCnt="0"/>
      <dgm:spPr/>
    </dgm:pt>
    <dgm:pt modelId="{7CF3D46F-711D-4AFA-952E-38AA381F219A}" type="pres">
      <dgm:prSet presAssocID="{51E3ACC0-E4F1-441E-A87E-3B95392BC5F0}" presName="hierChild7" presStyleCnt="0"/>
      <dgm:spPr/>
    </dgm:pt>
    <dgm:pt modelId="{56AD44C4-B456-4CBA-B06E-F6DC9356C900}" type="pres">
      <dgm:prSet presAssocID="{58E5FE36-DC21-41A6-AA84-51714C63CF75}" presName="Name111" presStyleLbl="parChTrans1D3" presStyleIdx="1" presStyleCnt="2" custSzY="371432"/>
      <dgm:spPr/>
      <dgm:t>
        <a:bodyPr/>
        <a:lstStyle/>
        <a:p>
          <a:endParaRPr lang="en-CA"/>
        </a:p>
      </dgm:t>
    </dgm:pt>
    <dgm:pt modelId="{BA91664B-89E9-4541-B26F-FF4943568807}" type="pres">
      <dgm:prSet presAssocID="{ED1A6CE7-3CBF-4E16-A079-4D27C716F781}" presName="hierRoot3" presStyleCnt="0">
        <dgm:presLayoutVars>
          <dgm:hierBranch val="init"/>
        </dgm:presLayoutVars>
      </dgm:prSet>
      <dgm:spPr/>
    </dgm:pt>
    <dgm:pt modelId="{E9E6E93B-BE00-49A1-8E2E-1EB1E8484241}" type="pres">
      <dgm:prSet presAssocID="{ED1A6CE7-3CBF-4E16-A079-4D27C716F781}" presName="rootComposite3" presStyleCnt="0"/>
      <dgm:spPr/>
    </dgm:pt>
    <dgm:pt modelId="{F9E6B664-EA11-47D2-9D9C-C03983031DF0}" type="pres">
      <dgm:prSet presAssocID="{ED1A6CE7-3CBF-4E16-A079-4D27C716F781}" presName="rootText3" presStyleLbl="asst1" presStyleIdx="3" presStyleCnt="4" custScaleY="101369">
        <dgm:presLayoutVars>
          <dgm:chPref val="3"/>
        </dgm:presLayoutVars>
      </dgm:prSet>
      <dgm:spPr/>
      <dgm:t>
        <a:bodyPr/>
        <a:lstStyle/>
        <a:p>
          <a:endParaRPr lang="en-CA"/>
        </a:p>
      </dgm:t>
    </dgm:pt>
    <dgm:pt modelId="{7CBDC8EB-A38F-4C9A-A115-1B8EB7A64281}" type="pres">
      <dgm:prSet presAssocID="{ED1A6CE7-3CBF-4E16-A079-4D27C716F781}" presName="rootConnector3" presStyleLbl="asst1" presStyleIdx="3" presStyleCnt="4"/>
      <dgm:spPr/>
      <dgm:t>
        <a:bodyPr/>
        <a:lstStyle/>
        <a:p>
          <a:endParaRPr lang="en-CA"/>
        </a:p>
      </dgm:t>
    </dgm:pt>
    <dgm:pt modelId="{7421FBB7-355C-4CA2-A38D-3C3066F3C29C}" type="pres">
      <dgm:prSet presAssocID="{ED1A6CE7-3CBF-4E16-A079-4D27C716F781}" presName="hierChild6" presStyleCnt="0"/>
      <dgm:spPr/>
    </dgm:pt>
    <dgm:pt modelId="{6656D30B-5AB9-4177-9885-2169EA1C4F27}" type="pres">
      <dgm:prSet presAssocID="{ED1A6CE7-3CBF-4E16-A079-4D27C716F781}" presName="hierChild7" presStyleCnt="0"/>
      <dgm:spPr/>
    </dgm:pt>
  </dgm:ptLst>
  <dgm:cxnLst>
    <dgm:cxn modelId="{3C54AB87-1530-4491-9DA4-2D0F66743832}" type="presOf" srcId="{B1F73704-A701-4397-9073-0A3C1C734BC6}" destId="{6DCCC2AA-C0BB-4548-A841-F0D7C3078B7F}" srcOrd="0" destOrd="0" presId="urn:microsoft.com/office/officeart/2005/8/layout/orgChart1"/>
    <dgm:cxn modelId="{827A0484-BA86-423A-B838-8C75616A7A44}" type="presOf" srcId="{CF7D467A-04B9-4055-A4D4-2A7C79079EE5}" destId="{56474B00-4A1D-48B4-A6FB-306BED540913}" srcOrd="0" destOrd="0" presId="urn:microsoft.com/office/officeart/2005/8/layout/orgChart1"/>
    <dgm:cxn modelId="{BA38EE4B-D1E3-4E08-9A0B-D77671D96249}" type="presOf" srcId="{58E5FE36-DC21-41A6-AA84-51714C63CF75}" destId="{56AD44C4-B456-4CBA-B06E-F6DC9356C900}" srcOrd="0" destOrd="0" presId="urn:microsoft.com/office/officeart/2005/8/layout/orgChart1"/>
    <dgm:cxn modelId="{0AD691AA-5430-4488-B7A7-50E5F875D077}" type="presOf" srcId="{B1F73704-A701-4397-9073-0A3C1C734BC6}" destId="{CE2176DF-9957-45CC-94F4-A7F1645DCFB4}" srcOrd="1" destOrd="0" presId="urn:microsoft.com/office/officeart/2005/8/layout/orgChart1"/>
    <dgm:cxn modelId="{085FECD6-28BB-4717-BB0D-1781203D0A53}" type="presOf" srcId="{4375C46E-09F2-4A06-AD2A-293C8CA50914}" destId="{23933A85-FC89-4D1F-BED6-D9F8C51E74CF}" srcOrd="0" destOrd="0" presId="urn:microsoft.com/office/officeart/2005/8/layout/orgChart1"/>
    <dgm:cxn modelId="{0FB8FA50-8877-4E19-A1ED-E4CB0966290A}" type="presOf" srcId="{04BEFAD8-EFCD-4860-B544-0964751A31EF}" destId="{A3867A86-E746-44BB-A95C-6A49D541955D}" srcOrd="0" destOrd="0" presId="urn:microsoft.com/office/officeart/2005/8/layout/orgChart1"/>
    <dgm:cxn modelId="{8FB12DED-78B1-446D-964D-1F6C0F6BBD98}" type="presOf" srcId="{ED1A6CE7-3CBF-4E16-A079-4D27C716F781}" destId="{F9E6B664-EA11-47D2-9D9C-C03983031DF0}" srcOrd="0" destOrd="0" presId="urn:microsoft.com/office/officeart/2005/8/layout/orgChart1"/>
    <dgm:cxn modelId="{984D6DB0-D8AB-4D2D-878A-7846F5990C4D}" type="presOf" srcId="{5D7C5E23-B77F-415A-A5D8-21A1144633A7}" destId="{448E9120-981C-4E2A-890C-0CB4B5EDCB17}" srcOrd="1" destOrd="0" presId="urn:microsoft.com/office/officeart/2005/8/layout/orgChart1"/>
    <dgm:cxn modelId="{129A831B-6F44-47E1-A6CD-057476D4609D}" srcId="{51E3ACC0-E4F1-441E-A87E-3B95392BC5F0}" destId="{ED1A6CE7-3CBF-4E16-A079-4D27C716F781}" srcOrd="0" destOrd="0" parTransId="{58E5FE36-DC21-41A6-AA84-51714C63CF75}" sibTransId="{AA6A80CB-7F12-46C2-8333-B6EE8C07454C}"/>
    <dgm:cxn modelId="{9E4A5000-8F60-4887-A1C2-CF5DE5C6FF01}" type="presOf" srcId="{1CB9F29C-E2D8-4533-BB0A-6871F955EB6F}" destId="{AAE2FDBA-B055-4D6C-B746-90110E3C3834}" srcOrd="1" destOrd="0" presId="urn:microsoft.com/office/officeart/2005/8/layout/orgChart1"/>
    <dgm:cxn modelId="{956C6325-C42A-44DD-A093-A0563C33C550}" srcId="{5D7C5E23-B77F-415A-A5D8-21A1144633A7}" destId="{51E3ACC0-E4F1-441E-A87E-3B95392BC5F0}" srcOrd="1" destOrd="0" parTransId="{4375C46E-09F2-4A06-AD2A-293C8CA50914}" sibTransId="{B59C3552-5359-45B8-88FA-68B5A4871DB8}"/>
    <dgm:cxn modelId="{54257B32-533E-43DA-8B9F-F2291F057611}" srcId="{5D7C5E23-B77F-415A-A5D8-21A1144633A7}" destId="{B1F73704-A701-4397-9073-0A3C1C734BC6}" srcOrd="0" destOrd="0" parTransId="{1469B740-6D94-41D1-A1CB-6BFBF1C2BA10}" sibTransId="{EFDBA6AF-06FB-4342-9C15-F87EA97EA2B6}"/>
    <dgm:cxn modelId="{0A7DA6AF-B07A-465C-9CE1-9CC1F275689F}" srcId="{CF7D467A-04B9-4055-A4D4-2A7C79079EE5}" destId="{5D7C5E23-B77F-415A-A5D8-21A1144633A7}" srcOrd="0" destOrd="0" parTransId="{2E5445FC-644B-4428-851B-3093A370F705}" sibTransId="{889D801E-7D94-4E2D-B74A-C7CAB4E99462}"/>
    <dgm:cxn modelId="{C4F05A9A-0F32-4A25-A712-FBDE3CF4FCC4}" type="presOf" srcId="{51E3ACC0-E4F1-441E-A87E-3B95392BC5F0}" destId="{7B665789-B95E-4FE3-A3BB-9E1BB8EB2B7B}" srcOrd="1" destOrd="0" presId="urn:microsoft.com/office/officeart/2005/8/layout/orgChart1"/>
    <dgm:cxn modelId="{1ACD0C7D-FC0C-4C13-95C0-37C95D513F69}" type="presOf" srcId="{5D7C5E23-B77F-415A-A5D8-21A1144633A7}" destId="{440B0295-07E7-4779-A491-A360C50EE358}" srcOrd="0" destOrd="0" presId="urn:microsoft.com/office/officeart/2005/8/layout/orgChart1"/>
    <dgm:cxn modelId="{87816719-5F45-4AA8-A79F-621761D4F79C}" type="presOf" srcId="{ED1A6CE7-3CBF-4E16-A079-4D27C716F781}" destId="{7CBDC8EB-A38F-4C9A-A115-1B8EB7A64281}" srcOrd="1" destOrd="0" presId="urn:microsoft.com/office/officeart/2005/8/layout/orgChart1"/>
    <dgm:cxn modelId="{FB619331-6B66-4BCD-A966-98B48841CE45}" type="presOf" srcId="{51E3ACC0-E4F1-441E-A87E-3B95392BC5F0}" destId="{F3B36E20-9035-436C-9F73-316F545D4211}" srcOrd="0" destOrd="0" presId="urn:microsoft.com/office/officeart/2005/8/layout/orgChart1"/>
    <dgm:cxn modelId="{A31FAD1F-6168-468E-BF1A-D68EA9E3FC12}" type="presOf" srcId="{1CB9F29C-E2D8-4533-BB0A-6871F955EB6F}" destId="{1A73CC9C-997E-41F4-B7EA-343773B53BF6}" srcOrd="0" destOrd="0" presId="urn:microsoft.com/office/officeart/2005/8/layout/orgChart1"/>
    <dgm:cxn modelId="{9D52D09D-4FF2-4673-B25D-09A7D5DA52BF}" srcId="{B1F73704-A701-4397-9073-0A3C1C734BC6}" destId="{1CB9F29C-E2D8-4533-BB0A-6871F955EB6F}" srcOrd="0" destOrd="0" parTransId="{04BEFAD8-EFCD-4860-B544-0964751A31EF}" sibTransId="{A1EB253F-FC97-4686-958D-1D711E637F40}"/>
    <dgm:cxn modelId="{08CDA6D3-2E85-4670-A30D-14B22C025254}" type="presOf" srcId="{1469B740-6D94-41D1-A1CB-6BFBF1C2BA10}" destId="{AD6C24C2-6AB7-43CA-8609-FA57D6B164A2}" srcOrd="0" destOrd="0" presId="urn:microsoft.com/office/officeart/2005/8/layout/orgChart1"/>
    <dgm:cxn modelId="{8C252536-062D-480E-943F-5F33D85DC8EB}" type="presParOf" srcId="{56474B00-4A1D-48B4-A6FB-306BED540913}" destId="{FF13B152-3484-4D37-9BA3-8D483514B69C}" srcOrd="0" destOrd="0" presId="urn:microsoft.com/office/officeart/2005/8/layout/orgChart1"/>
    <dgm:cxn modelId="{0F3B0759-8853-48D9-94DE-0E4C9FDCB08B}" type="presParOf" srcId="{FF13B152-3484-4D37-9BA3-8D483514B69C}" destId="{A36784AE-070C-4612-90CA-8B4E8AE4167A}" srcOrd="0" destOrd="0" presId="urn:microsoft.com/office/officeart/2005/8/layout/orgChart1"/>
    <dgm:cxn modelId="{B131E4E2-97F5-48DC-8BF9-C7605858B72D}" type="presParOf" srcId="{A36784AE-070C-4612-90CA-8B4E8AE4167A}" destId="{440B0295-07E7-4779-A491-A360C50EE358}" srcOrd="0" destOrd="0" presId="urn:microsoft.com/office/officeart/2005/8/layout/orgChart1"/>
    <dgm:cxn modelId="{A4D7EF32-AD52-4C89-AFE2-DA1BBF4EDB0B}" type="presParOf" srcId="{A36784AE-070C-4612-90CA-8B4E8AE4167A}" destId="{448E9120-981C-4E2A-890C-0CB4B5EDCB17}" srcOrd="1" destOrd="0" presId="urn:microsoft.com/office/officeart/2005/8/layout/orgChart1"/>
    <dgm:cxn modelId="{33F91962-2806-46B9-9A03-21C6B3CC2DB8}" type="presParOf" srcId="{FF13B152-3484-4D37-9BA3-8D483514B69C}" destId="{B25CCEE3-1030-4B1D-BCBE-45874BB1974B}" srcOrd="1" destOrd="0" presId="urn:microsoft.com/office/officeart/2005/8/layout/orgChart1"/>
    <dgm:cxn modelId="{B8D97DC3-9D24-43A8-85CC-9F86693A7FE1}" type="presParOf" srcId="{FF13B152-3484-4D37-9BA3-8D483514B69C}" destId="{D8C1C985-03B0-4BE6-8615-DC93A9C48D18}" srcOrd="2" destOrd="0" presId="urn:microsoft.com/office/officeart/2005/8/layout/orgChart1"/>
    <dgm:cxn modelId="{C340E52C-0DAF-4050-963D-671FD2F42B95}" type="presParOf" srcId="{D8C1C985-03B0-4BE6-8615-DC93A9C48D18}" destId="{AD6C24C2-6AB7-43CA-8609-FA57D6B164A2}" srcOrd="0" destOrd="0" presId="urn:microsoft.com/office/officeart/2005/8/layout/orgChart1"/>
    <dgm:cxn modelId="{D787DFE6-4D37-488C-BF4A-B7EC051758BC}" type="presParOf" srcId="{D8C1C985-03B0-4BE6-8615-DC93A9C48D18}" destId="{18C6DEE7-0EDA-4406-8925-471805718DDE}" srcOrd="1" destOrd="0" presId="urn:microsoft.com/office/officeart/2005/8/layout/orgChart1"/>
    <dgm:cxn modelId="{EE119A51-9030-46EE-AAE6-D32F411D3CEC}" type="presParOf" srcId="{18C6DEE7-0EDA-4406-8925-471805718DDE}" destId="{F27BA537-74C1-400F-8E0F-92771AB5CD81}" srcOrd="0" destOrd="0" presId="urn:microsoft.com/office/officeart/2005/8/layout/orgChart1"/>
    <dgm:cxn modelId="{2EE45903-E3BB-496A-BA28-ACEB5D8EB082}" type="presParOf" srcId="{F27BA537-74C1-400F-8E0F-92771AB5CD81}" destId="{6DCCC2AA-C0BB-4548-A841-F0D7C3078B7F}" srcOrd="0" destOrd="0" presId="urn:microsoft.com/office/officeart/2005/8/layout/orgChart1"/>
    <dgm:cxn modelId="{B8416EDE-22B2-49CC-82CF-07BCB945A820}" type="presParOf" srcId="{F27BA537-74C1-400F-8E0F-92771AB5CD81}" destId="{CE2176DF-9957-45CC-94F4-A7F1645DCFB4}" srcOrd="1" destOrd="0" presId="urn:microsoft.com/office/officeart/2005/8/layout/orgChart1"/>
    <dgm:cxn modelId="{30E44A34-A590-4921-8A22-0FAA077E4AF0}" type="presParOf" srcId="{18C6DEE7-0EDA-4406-8925-471805718DDE}" destId="{B06B7879-2F75-4BFB-81E2-689F66BE3B44}" srcOrd="1" destOrd="0" presId="urn:microsoft.com/office/officeart/2005/8/layout/orgChart1"/>
    <dgm:cxn modelId="{EBB77D8B-4342-48B7-9756-D44A656C68E8}" type="presParOf" srcId="{18C6DEE7-0EDA-4406-8925-471805718DDE}" destId="{5DBDC0F1-B5E5-4AAE-8AE4-B37D2556581B}" srcOrd="2" destOrd="0" presId="urn:microsoft.com/office/officeart/2005/8/layout/orgChart1"/>
    <dgm:cxn modelId="{E3E0FAA4-5B4E-4989-9AC0-EC8122256614}" type="presParOf" srcId="{5DBDC0F1-B5E5-4AAE-8AE4-B37D2556581B}" destId="{A3867A86-E746-44BB-A95C-6A49D541955D}" srcOrd="0" destOrd="0" presId="urn:microsoft.com/office/officeart/2005/8/layout/orgChart1"/>
    <dgm:cxn modelId="{D5E96244-FFEA-42FF-A093-491473162187}" type="presParOf" srcId="{5DBDC0F1-B5E5-4AAE-8AE4-B37D2556581B}" destId="{58570422-6AE9-4796-8F84-86B1627293CD}" srcOrd="1" destOrd="0" presId="urn:microsoft.com/office/officeart/2005/8/layout/orgChart1"/>
    <dgm:cxn modelId="{6EE8EFE4-033B-4E66-B549-FFFC6B031C76}" type="presParOf" srcId="{58570422-6AE9-4796-8F84-86B1627293CD}" destId="{90A999A1-C741-428C-8BE8-0DD064FFCBDE}" srcOrd="0" destOrd="0" presId="urn:microsoft.com/office/officeart/2005/8/layout/orgChart1"/>
    <dgm:cxn modelId="{119EBDD7-5808-4434-925C-0010AB468575}" type="presParOf" srcId="{90A999A1-C741-428C-8BE8-0DD064FFCBDE}" destId="{1A73CC9C-997E-41F4-B7EA-343773B53BF6}" srcOrd="0" destOrd="0" presId="urn:microsoft.com/office/officeart/2005/8/layout/orgChart1"/>
    <dgm:cxn modelId="{4BE09003-DE57-4A15-A7D7-47AFF975B39C}" type="presParOf" srcId="{90A999A1-C741-428C-8BE8-0DD064FFCBDE}" destId="{AAE2FDBA-B055-4D6C-B746-90110E3C3834}" srcOrd="1" destOrd="0" presId="urn:microsoft.com/office/officeart/2005/8/layout/orgChart1"/>
    <dgm:cxn modelId="{AD7A93D0-9240-4601-9634-0E9450EFE9AE}" type="presParOf" srcId="{58570422-6AE9-4796-8F84-86B1627293CD}" destId="{9F3E3DEB-5DEF-459D-9ADF-DB1C630E132A}" srcOrd="1" destOrd="0" presId="urn:microsoft.com/office/officeart/2005/8/layout/orgChart1"/>
    <dgm:cxn modelId="{E2C5ED9D-AB6E-46C8-880E-456657898372}" type="presParOf" srcId="{58570422-6AE9-4796-8F84-86B1627293CD}" destId="{8D7AB170-BB22-4957-95B7-DA5F75AB03F5}" srcOrd="2" destOrd="0" presId="urn:microsoft.com/office/officeart/2005/8/layout/orgChart1"/>
    <dgm:cxn modelId="{0F849A9D-4F0A-4276-B744-32DF85411F94}" type="presParOf" srcId="{D8C1C985-03B0-4BE6-8615-DC93A9C48D18}" destId="{23933A85-FC89-4D1F-BED6-D9F8C51E74CF}" srcOrd="2" destOrd="0" presId="urn:microsoft.com/office/officeart/2005/8/layout/orgChart1"/>
    <dgm:cxn modelId="{8B88478B-725C-434F-BF83-37CAA090E507}" type="presParOf" srcId="{D8C1C985-03B0-4BE6-8615-DC93A9C48D18}" destId="{AA96095D-BDB0-433C-ADA7-CB49FECA5539}" srcOrd="3" destOrd="0" presId="urn:microsoft.com/office/officeart/2005/8/layout/orgChart1"/>
    <dgm:cxn modelId="{8E8F7EAA-C2DA-477B-95D9-42A83E008138}" type="presParOf" srcId="{AA96095D-BDB0-433C-ADA7-CB49FECA5539}" destId="{027B4EEF-F5C2-40A5-8333-113CE8AB3B44}" srcOrd="0" destOrd="0" presId="urn:microsoft.com/office/officeart/2005/8/layout/orgChart1"/>
    <dgm:cxn modelId="{9F0CE5BA-0A19-4487-B47F-EF4B682623A4}" type="presParOf" srcId="{027B4EEF-F5C2-40A5-8333-113CE8AB3B44}" destId="{F3B36E20-9035-436C-9F73-316F545D4211}" srcOrd="0" destOrd="0" presId="urn:microsoft.com/office/officeart/2005/8/layout/orgChart1"/>
    <dgm:cxn modelId="{1A5B56FC-D121-41DC-8C7E-50E31A684106}" type="presParOf" srcId="{027B4EEF-F5C2-40A5-8333-113CE8AB3B44}" destId="{7B665789-B95E-4FE3-A3BB-9E1BB8EB2B7B}" srcOrd="1" destOrd="0" presId="urn:microsoft.com/office/officeart/2005/8/layout/orgChart1"/>
    <dgm:cxn modelId="{74D1210D-25D5-4C77-9DCA-1D4061B31706}" type="presParOf" srcId="{AA96095D-BDB0-433C-ADA7-CB49FECA5539}" destId="{3959F41C-AA91-44A2-A56C-549DE3F562A0}" srcOrd="1" destOrd="0" presId="urn:microsoft.com/office/officeart/2005/8/layout/orgChart1"/>
    <dgm:cxn modelId="{E1D84DB6-ED00-4A97-9E3E-DE1B59BC2FF4}" type="presParOf" srcId="{AA96095D-BDB0-433C-ADA7-CB49FECA5539}" destId="{7CF3D46F-711D-4AFA-952E-38AA381F219A}" srcOrd="2" destOrd="0" presId="urn:microsoft.com/office/officeart/2005/8/layout/orgChart1"/>
    <dgm:cxn modelId="{887D0C44-2BB0-4B98-B6EA-E7DA13710AB2}" type="presParOf" srcId="{7CF3D46F-711D-4AFA-952E-38AA381F219A}" destId="{56AD44C4-B456-4CBA-B06E-F6DC9356C900}" srcOrd="0" destOrd="0" presId="urn:microsoft.com/office/officeart/2005/8/layout/orgChart1"/>
    <dgm:cxn modelId="{730A5C9E-2FA2-400D-8EE6-6B19E4B44D93}" type="presParOf" srcId="{7CF3D46F-711D-4AFA-952E-38AA381F219A}" destId="{BA91664B-89E9-4541-B26F-FF4943568807}" srcOrd="1" destOrd="0" presId="urn:microsoft.com/office/officeart/2005/8/layout/orgChart1"/>
    <dgm:cxn modelId="{A41AA520-EFFD-4054-AFA5-4E624BD4ACA9}" type="presParOf" srcId="{BA91664B-89E9-4541-B26F-FF4943568807}" destId="{E9E6E93B-BE00-49A1-8E2E-1EB1E8484241}" srcOrd="0" destOrd="0" presId="urn:microsoft.com/office/officeart/2005/8/layout/orgChart1"/>
    <dgm:cxn modelId="{56D9CBB6-E8C4-4ADA-B597-914708DB145B}" type="presParOf" srcId="{E9E6E93B-BE00-49A1-8E2E-1EB1E8484241}" destId="{F9E6B664-EA11-47D2-9D9C-C03983031DF0}" srcOrd="0" destOrd="0" presId="urn:microsoft.com/office/officeart/2005/8/layout/orgChart1"/>
    <dgm:cxn modelId="{FBA6C325-F413-433A-B12D-F4E16E55753E}" type="presParOf" srcId="{E9E6E93B-BE00-49A1-8E2E-1EB1E8484241}" destId="{7CBDC8EB-A38F-4C9A-A115-1B8EB7A64281}" srcOrd="1" destOrd="0" presId="urn:microsoft.com/office/officeart/2005/8/layout/orgChart1"/>
    <dgm:cxn modelId="{D87E8025-FC49-46D8-9391-7D3C3281B650}" type="presParOf" srcId="{BA91664B-89E9-4541-B26F-FF4943568807}" destId="{7421FBB7-355C-4CA2-A38D-3C3066F3C29C}" srcOrd="1" destOrd="0" presId="urn:microsoft.com/office/officeart/2005/8/layout/orgChart1"/>
    <dgm:cxn modelId="{F630B6CB-F787-48DA-959E-62DCA7C514BD}" type="presParOf" srcId="{BA91664B-89E9-4541-B26F-FF4943568807}" destId="{6656D30B-5AB9-4177-9885-2169EA1C4F27}" srcOrd="2" destOrd="0" presId="urn:microsoft.com/office/officeart/2005/8/layout/orgChart1"/>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AD44C4-B456-4CBA-B06E-F6DC9356C900}">
      <dsp:nvSpPr>
        <dsp:cNvPr id="0" name=""/>
        <dsp:cNvSpPr/>
      </dsp:nvSpPr>
      <dsp:spPr>
        <a:xfrm>
          <a:off x="4390180" y="1761066"/>
          <a:ext cx="163741" cy="808167"/>
        </a:xfrm>
        <a:custGeom>
          <a:avLst/>
          <a:gdLst/>
          <a:ahLst/>
          <a:cxnLst/>
          <a:rect l="0" t="0" r="0" b="0"/>
          <a:pathLst>
            <a:path>
              <a:moveTo>
                <a:pt x="163741" y="0"/>
              </a:moveTo>
              <a:lnTo>
                <a:pt x="163741" y="808167"/>
              </a:lnTo>
              <a:lnTo>
                <a:pt x="0" y="8081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3933A85-FC89-4D1F-BED6-D9F8C51E74CF}">
      <dsp:nvSpPr>
        <dsp:cNvPr id="0" name=""/>
        <dsp:cNvSpPr/>
      </dsp:nvSpPr>
      <dsp:spPr>
        <a:xfrm>
          <a:off x="3605190" y="738877"/>
          <a:ext cx="169012" cy="751447"/>
        </a:xfrm>
        <a:custGeom>
          <a:avLst/>
          <a:gdLst/>
          <a:ahLst/>
          <a:cxnLst/>
          <a:rect l="0" t="0" r="0" b="0"/>
          <a:pathLst>
            <a:path>
              <a:moveTo>
                <a:pt x="0" y="0"/>
              </a:moveTo>
              <a:lnTo>
                <a:pt x="0" y="751447"/>
              </a:lnTo>
              <a:lnTo>
                <a:pt x="169012" y="7514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867A86-E746-44BB-A95C-6A49D541955D}">
      <dsp:nvSpPr>
        <dsp:cNvPr id="0" name=""/>
        <dsp:cNvSpPr/>
      </dsp:nvSpPr>
      <dsp:spPr>
        <a:xfrm>
          <a:off x="1559797" y="1727437"/>
          <a:ext cx="163741" cy="836460"/>
        </a:xfrm>
        <a:custGeom>
          <a:avLst/>
          <a:gdLst/>
          <a:ahLst/>
          <a:cxnLst/>
          <a:rect l="0" t="0" r="0" b="0"/>
          <a:pathLst>
            <a:path>
              <a:moveTo>
                <a:pt x="163741" y="0"/>
              </a:moveTo>
              <a:lnTo>
                <a:pt x="163741" y="836460"/>
              </a:lnTo>
              <a:lnTo>
                <a:pt x="0" y="8364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6C24C2-6AB7-43CA-8609-FA57D6B164A2}">
      <dsp:nvSpPr>
        <dsp:cNvPr id="0" name=""/>
        <dsp:cNvSpPr/>
      </dsp:nvSpPr>
      <dsp:spPr>
        <a:xfrm>
          <a:off x="2503258" y="738877"/>
          <a:ext cx="1101931" cy="717817"/>
        </a:xfrm>
        <a:custGeom>
          <a:avLst/>
          <a:gdLst/>
          <a:ahLst/>
          <a:cxnLst/>
          <a:rect l="0" t="0" r="0" b="0"/>
          <a:pathLst>
            <a:path>
              <a:moveTo>
                <a:pt x="1101931" y="0"/>
              </a:moveTo>
              <a:lnTo>
                <a:pt x="1101931" y="717817"/>
              </a:lnTo>
              <a:lnTo>
                <a:pt x="0" y="71781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0B0295-07E7-4779-A491-A360C50EE358}">
      <dsp:nvSpPr>
        <dsp:cNvPr id="0" name=""/>
        <dsp:cNvSpPr/>
      </dsp:nvSpPr>
      <dsp:spPr>
        <a:xfrm>
          <a:off x="2825470" y="197392"/>
          <a:ext cx="1559439" cy="5414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CA" sz="1400" b="1" kern="1200" dirty="0" smtClean="0"/>
            <a:t>APUC</a:t>
          </a:r>
          <a:endParaRPr lang="en-CA" sz="1400" b="1" kern="1200" dirty="0"/>
        </a:p>
      </dsp:txBody>
      <dsp:txXfrm>
        <a:off x="2825470" y="197392"/>
        <a:ext cx="1559439" cy="541484"/>
      </dsp:txXfrm>
    </dsp:sp>
    <dsp:sp modelId="{6DCCC2AA-C0BB-4548-A841-F0D7C3078B7F}">
      <dsp:nvSpPr>
        <dsp:cNvPr id="0" name=""/>
        <dsp:cNvSpPr/>
      </dsp:nvSpPr>
      <dsp:spPr>
        <a:xfrm>
          <a:off x="943819" y="1185952"/>
          <a:ext cx="1559439" cy="5414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CA" sz="1100" b="1" kern="1200" dirty="0" smtClean="0"/>
            <a:t>APCO</a:t>
          </a:r>
          <a:endParaRPr lang="en-CA" sz="1100" b="1" kern="1200" dirty="0"/>
        </a:p>
      </dsp:txBody>
      <dsp:txXfrm>
        <a:off x="943819" y="1185952"/>
        <a:ext cx="1559439" cy="541484"/>
      </dsp:txXfrm>
    </dsp:sp>
    <dsp:sp modelId="{1A73CC9C-997E-41F4-B7EA-343773B53BF6}">
      <dsp:nvSpPr>
        <dsp:cNvPr id="0" name=""/>
        <dsp:cNvSpPr/>
      </dsp:nvSpPr>
      <dsp:spPr>
        <a:xfrm>
          <a:off x="358" y="2293155"/>
          <a:ext cx="1559439" cy="5414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CA" sz="1100" kern="1200" dirty="0" smtClean="0"/>
            <a:t> Unregulated Facilities</a:t>
          </a:r>
          <a:endParaRPr lang="en-CA" sz="1100" kern="1200" dirty="0"/>
        </a:p>
      </dsp:txBody>
      <dsp:txXfrm>
        <a:off x="358" y="2293155"/>
        <a:ext cx="1559439" cy="541484"/>
      </dsp:txXfrm>
    </dsp:sp>
    <dsp:sp modelId="{F3B36E20-9035-436C-9F73-316F545D4211}">
      <dsp:nvSpPr>
        <dsp:cNvPr id="0" name=""/>
        <dsp:cNvSpPr/>
      </dsp:nvSpPr>
      <dsp:spPr>
        <a:xfrm>
          <a:off x="3774202" y="1219582"/>
          <a:ext cx="1559439" cy="5414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CA" sz="1100" b="1" kern="1200" dirty="0" smtClean="0"/>
            <a:t>LUC</a:t>
          </a:r>
          <a:endParaRPr lang="en-CA" sz="1100" b="1" kern="1200" dirty="0"/>
        </a:p>
      </dsp:txBody>
      <dsp:txXfrm>
        <a:off x="3774202" y="1219582"/>
        <a:ext cx="1559439" cy="541484"/>
      </dsp:txXfrm>
    </dsp:sp>
    <dsp:sp modelId="{F9E6B664-EA11-47D2-9D9C-C03983031DF0}">
      <dsp:nvSpPr>
        <dsp:cNvPr id="0" name=""/>
        <dsp:cNvSpPr/>
      </dsp:nvSpPr>
      <dsp:spPr>
        <a:xfrm>
          <a:off x="2830741" y="2174037"/>
          <a:ext cx="1559439" cy="7903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CA" sz="1100" kern="1200" dirty="0"/>
            <a:t>Gas,</a:t>
          </a:r>
          <a:r>
            <a:rPr lang="en-CA" sz="1100" kern="1200" baseline="0" dirty="0"/>
            <a:t> Electric, Water &amp; Wastewater regulated utilities</a:t>
          </a:r>
          <a:endParaRPr lang="en-CA" sz="1100" kern="1200" dirty="0"/>
        </a:p>
      </dsp:txBody>
      <dsp:txXfrm>
        <a:off x="2830741" y="2174037"/>
        <a:ext cx="1559439" cy="7903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011</PublishDate>
  <Abstract>This document outlines the methods of direct charge and cost allocations:  (i) between Algonquin Power &amp; Utilities Corp. and its affiliates Algonquin Power Company and Liberty Utilities (Canada) Corp.; (ii) between Liberty Utilities (Canada) Corp. and its regulated utility subsidiaries; and (iii) between Liberty Utilities (Canada) Corp.’s service companies and its regulated utility subsidiaries.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C0F65B-697F-4964-9E93-C160501AA145}">
  <ds:schemaRefs>
    <ds:schemaRef ds:uri="http://schemas.openxmlformats.org/officeDocument/2006/bibliography"/>
  </ds:schemaRefs>
</ds:datastoreItem>
</file>

<file path=customXml/itemProps3.xml><?xml version="1.0" encoding="utf-8"?>
<ds:datastoreItem xmlns:ds="http://schemas.openxmlformats.org/officeDocument/2006/customXml" ds:itemID="{C22C1B77-A583-4DA8-8406-958D11CCCE9A}">
  <ds:schemaRefs>
    <ds:schemaRef ds:uri="http://schemas.openxmlformats.org/officeDocument/2006/bibliography"/>
  </ds:schemaRefs>
</ds:datastoreItem>
</file>

<file path=customXml/itemProps4.xml><?xml version="1.0" encoding="utf-8"?>
<ds:datastoreItem xmlns:ds="http://schemas.openxmlformats.org/officeDocument/2006/customXml" ds:itemID="{DDFC5498-06B7-4446-B628-1CFB98B63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5526</Words>
  <Characters>31503</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ALGONQUIN POWER &amp; UTILITIES CORP.   DIRECT CHARGE AND COST ALLOCATIONS MANUAL</vt:lpstr>
    </vt:vector>
  </TitlesOfParts>
  <Company>Microsoft</Company>
  <LinksUpToDate>false</LinksUpToDate>
  <CharactersWithSpaces>36956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ALGONQUIN POWER &amp; UTILITIES CORP.   DIRECT CHARGE AND COST ALLOCATIONS MANUAL</dc:title>
  <dc:creator>Sharon Niles</dc:creator>
  <cp:lastModifiedBy>Shannon Coleman</cp:lastModifiedBy>
  <cp:revision>2</cp:revision>
  <cp:lastPrinted>2012-03-08T18:09:00Z</cp:lastPrinted>
  <dcterms:created xsi:type="dcterms:W3CDTF">2012-01-27T00:24:00Z</dcterms:created>
  <dcterms:modified xsi:type="dcterms:W3CDTF">2012-01-27T00:24:00Z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ABAAVOAfoSrQoyzpJ+aZ4wX9NgNM4uLVyShrCw8c+nvcpd8poa3YvIrjagF7qcFpMVUY</vt:lpwstr>
  </property>
  <property fmtid="{D5CDD505-2E9C-101B-9397-08002B2CF9AE}" pid="3" name="MAIL_MSG_ID2">
    <vt:lpwstr>BUGfqwF2WdyKcftqRYQUos4YWZ33eZqv2TzU2euMtdEpe8Ugd8sKsCEfDfB_x000d_
UsSrQAWMstddd6iyieDxFI8haUQzarHUoKBSxWtg/mkfuwON</vt:lpwstr>
  </property>
  <property fmtid="{D5CDD505-2E9C-101B-9397-08002B2CF9AE}" pid="4" name="RESPONSE_SENDER_NAME">
    <vt:lpwstr>gAAAdya76B99d4hLGUR1rQ+8TxTv0GGEPdix</vt:lpwstr>
  </property>
  <property fmtid="{D5CDD505-2E9C-101B-9397-08002B2CF9AE}" pid="5" name="EMAIL_OWNER_ADDRESS">
    <vt:lpwstr>sAAAGYoQX4c3X/IE4eiuwjMKFqcci7DEDXf+7nCTws/VJQs=</vt:lpwstr>
  </property>
</Properties>
</file>