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DB79B" w14:textId="5D459C50" w:rsidR="005434CF" w:rsidRDefault="00576115" w:rsidP="005434CF">
      <w:pPr>
        <w:jc w:val="center"/>
        <w:rPr>
          <w:rFonts w:asciiTheme="minorHAnsi" w:hAnsiTheme="minorHAnsi" w:cstheme="minorHAnsi"/>
          <w:szCs w:val="24"/>
        </w:rPr>
      </w:pPr>
      <w:r>
        <w:rPr>
          <w:rFonts w:asciiTheme="minorHAnsi" w:hAnsiTheme="minorHAnsi" w:cstheme="minorHAnsi"/>
          <w:szCs w:val="24"/>
        </w:rPr>
        <w:t>March 20</w:t>
      </w:r>
      <w:r w:rsidR="005434CF">
        <w:rPr>
          <w:rFonts w:asciiTheme="minorHAnsi" w:hAnsiTheme="minorHAnsi" w:cstheme="minorHAnsi"/>
          <w:szCs w:val="24"/>
        </w:rPr>
        <w:t>, 2024</w:t>
      </w:r>
    </w:p>
    <w:p w14:paraId="2A95AC6B" w14:textId="007C2190" w:rsidR="005434CF" w:rsidRPr="005434CF" w:rsidRDefault="005434CF" w:rsidP="005434CF">
      <w:pPr>
        <w:pStyle w:val="NoSpacing"/>
        <w:rPr>
          <w:rFonts w:asciiTheme="minorHAnsi" w:hAnsiTheme="minorHAnsi" w:cstheme="minorHAnsi"/>
        </w:rPr>
      </w:pPr>
      <w:r w:rsidRPr="005434CF">
        <w:rPr>
          <w:rFonts w:asciiTheme="minorHAnsi" w:hAnsiTheme="minorHAnsi" w:cstheme="minorHAnsi"/>
        </w:rPr>
        <w:t>The Office of the Public Counsel</w:t>
      </w:r>
    </w:p>
    <w:p w14:paraId="35205293" w14:textId="2FC665A4" w:rsidR="005434CF" w:rsidRPr="005434CF" w:rsidRDefault="005434CF" w:rsidP="005434CF">
      <w:pPr>
        <w:pStyle w:val="NoSpacing"/>
        <w:rPr>
          <w:rFonts w:asciiTheme="minorHAnsi" w:hAnsiTheme="minorHAnsi" w:cstheme="minorHAnsi"/>
        </w:rPr>
      </w:pPr>
      <w:proofErr w:type="gramStart"/>
      <w:r w:rsidRPr="005434CF">
        <w:rPr>
          <w:rFonts w:asciiTheme="minorHAnsi" w:hAnsiTheme="minorHAnsi" w:cstheme="minorHAnsi"/>
        </w:rPr>
        <w:t>c/o</w:t>
      </w:r>
      <w:proofErr w:type="gramEnd"/>
      <w:r w:rsidRPr="005434CF">
        <w:rPr>
          <w:rFonts w:asciiTheme="minorHAnsi" w:hAnsiTheme="minorHAnsi" w:cstheme="minorHAnsi"/>
        </w:rPr>
        <w:t xml:space="preserve"> Nathan Williams</w:t>
      </w:r>
    </w:p>
    <w:p w14:paraId="69361D97" w14:textId="2DED6046" w:rsidR="005434CF" w:rsidRDefault="005434CF" w:rsidP="005434CF">
      <w:pPr>
        <w:pStyle w:val="NoSpacing"/>
        <w:rPr>
          <w:rFonts w:asciiTheme="minorHAnsi" w:hAnsiTheme="minorHAnsi" w:cstheme="minorHAnsi"/>
        </w:rPr>
      </w:pPr>
      <w:r>
        <w:rPr>
          <w:rFonts w:asciiTheme="minorHAnsi" w:hAnsiTheme="minorHAnsi" w:cstheme="minorHAnsi"/>
        </w:rPr>
        <w:t>200 Madison Street</w:t>
      </w:r>
    </w:p>
    <w:p w14:paraId="0693266A" w14:textId="0C7F3AC2" w:rsidR="005434CF" w:rsidRDefault="005434CF" w:rsidP="005434CF">
      <w:pPr>
        <w:pStyle w:val="NoSpacing"/>
        <w:rPr>
          <w:rFonts w:asciiTheme="minorHAnsi" w:hAnsiTheme="minorHAnsi" w:cstheme="minorHAnsi"/>
        </w:rPr>
      </w:pPr>
      <w:r>
        <w:rPr>
          <w:rFonts w:asciiTheme="minorHAnsi" w:hAnsiTheme="minorHAnsi" w:cstheme="minorHAnsi"/>
        </w:rPr>
        <w:t>Ste. 650</w:t>
      </w:r>
    </w:p>
    <w:p w14:paraId="07FDE897" w14:textId="63EAFD17" w:rsidR="005434CF" w:rsidRDefault="005434CF" w:rsidP="005434CF">
      <w:pPr>
        <w:pStyle w:val="NoSpacing"/>
        <w:rPr>
          <w:rFonts w:asciiTheme="minorHAnsi" w:hAnsiTheme="minorHAnsi" w:cstheme="minorHAnsi"/>
        </w:rPr>
      </w:pPr>
      <w:r>
        <w:rPr>
          <w:rFonts w:asciiTheme="minorHAnsi" w:hAnsiTheme="minorHAnsi" w:cstheme="minorHAnsi"/>
        </w:rPr>
        <w:t>Jefferson City, MO 65102</w:t>
      </w:r>
      <w:bookmarkStart w:id="0" w:name="_GoBack"/>
      <w:bookmarkEnd w:id="0"/>
    </w:p>
    <w:p w14:paraId="48FC49BA" w14:textId="11A52D67" w:rsidR="005434CF" w:rsidRDefault="005434CF" w:rsidP="005434CF">
      <w:pPr>
        <w:pStyle w:val="NoSpacing"/>
        <w:rPr>
          <w:rFonts w:asciiTheme="minorHAnsi" w:hAnsiTheme="minorHAnsi" w:cstheme="minorHAnsi"/>
        </w:rPr>
      </w:pPr>
    </w:p>
    <w:p w14:paraId="08CB912D" w14:textId="75961A14" w:rsidR="005434CF" w:rsidRDefault="005434CF" w:rsidP="005434CF">
      <w:pPr>
        <w:pStyle w:val="NoSpacing"/>
        <w:rPr>
          <w:rFonts w:asciiTheme="minorHAnsi" w:hAnsiTheme="minorHAnsi" w:cstheme="minorHAnsi"/>
        </w:rPr>
      </w:pPr>
      <w:r>
        <w:rPr>
          <w:rFonts w:asciiTheme="minorHAnsi" w:hAnsiTheme="minorHAnsi" w:cstheme="minorHAnsi"/>
        </w:rPr>
        <w:tab/>
        <w:t xml:space="preserve">Be advised that this letter serves as an objection to the following data requests submitted to the Staff of the Missouri Public Service Commission on March 15, 2024. </w:t>
      </w:r>
    </w:p>
    <w:p w14:paraId="1A73645C" w14:textId="57DDD0E6" w:rsidR="005434CF" w:rsidRDefault="005434CF" w:rsidP="005434CF">
      <w:pPr>
        <w:pStyle w:val="NoSpacing"/>
        <w:rPr>
          <w:rFonts w:asciiTheme="minorHAnsi" w:hAnsiTheme="minorHAnsi" w:cstheme="minorHAnsi"/>
        </w:rPr>
      </w:pPr>
    </w:p>
    <w:p w14:paraId="73A3D939" w14:textId="3434CCB8" w:rsidR="005434CF" w:rsidRPr="005434CF" w:rsidRDefault="005434CF" w:rsidP="005434CF">
      <w:pPr>
        <w:pStyle w:val="NoSpacing"/>
        <w:rPr>
          <w:rFonts w:asciiTheme="minorHAnsi" w:hAnsiTheme="minorHAnsi" w:cstheme="minorHAnsi"/>
        </w:rPr>
      </w:pPr>
      <w:r>
        <w:rPr>
          <w:rFonts w:asciiTheme="minorHAnsi" w:hAnsiTheme="minorHAnsi" w:cstheme="minorHAnsi"/>
        </w:rPr>
        <w:t>In regards to data requests number 44 through 50 Staff objects to these requests as irrelevan</w:t>
      </w:r>
      <w:r w:rsidR="00FB73CB">
        <w:rPr>
          <w:rFonts w:asciiTheme="minorHAnsi" w:hAnsiTheme="minorHAnsi" w:cstheme="minorHAnsi"/>
        </w:rPr>
        <w:t xml:space="preserve">t, </w:t>
      </w:r>
      <w:r>
        <w:rPr>
          <w:rFonts w:asciiTheme="minorHAnsi" w:hAnsiTheme="minorHAnsi" w:cstheme="minorHAnsi"/>
        </w:rPr>
        <w:t>not reasonably calculated to lead to the discovery of admissible evidence</w:t>
      </w:r>
      <w:r w:rsidR="00FB73CB">
        <w:rPr>
          <w:rFonts w:asciiTheme="minorHAnsi" w:hAnsiTheme="minorHAnsi" w:cstheme="minorHAnsi"/>
        </w:rPr>
        <w:t xml:space="preserve"> and as violating attorney/client privilege</w:t>
      </w:r>
      <w:r w:rsidR="00227B5C">
        <w:rPr>
          <w:rFonts w:asciiTheme="minorHAnsi" w:hAnsiTheme="minorHAnsi" w:cstheme="minorHAnsi"/>
        </w:rPr>
        <w:t>. Much of the requested information in these data requests seeks information controlled by the administrative bodies of the Public Service Commission and the State of Missouri and not information controlled by the Staff. The information requested is irrelevant to the decisions before the Missouri Public Service Commission in Case No. EF-2024-0021.</w:t>
      </w:r>
      <w:r w:rsidR="00FB73CB">
        <w:rPr>
          <w:rFonts w:asciiTheme="minorHAnsi" w:hAnsiTheme="minorHAnsi" w:cstheme="minorHAnsi"/>
        </w:rPr>
        <w:t xml:space="preserve"> </w:t>
      </w:r>
    </w:p>
    <w:p w14:paraId="4DA4ECFF" w14:textId="77777777" w:rsidR="005434CF" w:rsidRPr="005434CF" w:rsidRDefault="005434CF" w:rsidP="005434CF">
      <w:pPr>
        <w:pStyle w:val="NoSpacing"/>
        <w:rPr>
          <w:rFonts w:asciiTheme="majorHAnsi" w:hAnsiTheme="majorHAnsi"/>
        </w:rPr>
      </w:pPr>
    </w:p>
    <w:p w14:paraId="521E28F3" w14:textId="1B45C906" w:rsidR="007A328C" w:rsidRPr="005434CF" w:rsidRDefault="005A32C8">
      <w:pPr>
        <w:rPr>
          <w:rFonts w:asciiTheme="minorHAnsi" w:hAnsiTheme="minorHAnsi" w:cstheme="minorHAnsi"/>
          <w:szCs w:val="24"/>
        </w:rPr>
      </w:pPr>
      <w:proofErr w:type="spellStart"/>
      <w:r w:rsidRPr="005434CF">
        <w:rPr>
          <w:rFonts w:asciiTheme="minorHAnsi" w:hAnsiTheme="minorHAnsi" w:cstheme="minorHAnsi"/>
          <w:szCs w:val="24"/>
        </w:rPr>
        <w:t>DR</w:t>
      </w:r>
      <w:proofErr w:type="spellEnd"/>
      <w:r w:rsidRPr="005434CF">
        <w:rPr>
          <w:rFonts w:asciiTheme="minorHAnsi" w:hAnsiTheme="minorHAnsi" w:cstheme="minorHAnsi"/>
          <w:szCs w:val="24"/>
        </w:rPr>
        <w:t xml:space="preserve"> No. 44 - Please provide copies of each prospective vendor’s responses to the Missouri Public Service Commission Staff’s Request for Information (“</w:t>
      </w:r>
      <w:proofErr w:type="spellStart"/>
      <w:r w:rsidRPr="005434CF">
        <w:rPr>
          <w:rFonts w:asciiTheme="minorHAnsi" w:hAnsiTheme="minorHAnsi" w:cstheme="minorHAnsi"/>
          <w:szCs w:val="24"/>
        </w:rPr>
        <w:t>RFI</w:t>
      </w:r>
      <w:proofErr w:type="spellEnd"/>
      <w:r w:rsidRPr="005434CF">
        <w:rPr>
          <w:rFonts w:asciiTheme="minorHAnsi" w:hAnsiTheme="minorHAnsi" w:cstheme="minorHAnsi"/>
          <w:szCs w:val="24"/>
        </w:rPr>
        <w:t>“)</w:t>
      </w:r>
      <w:r w:rsidR="00831F07" w:rsidRPr="005434CF">
        <w:rPr>
          <w:rFonts w:asciiTheme="minorHAnsi" w:hAnsiTheme="minorHAnsi" w:cstheme="minorHAnsi"/>
          <w:szCs w:val="24"/>
        </w:rPr>
        <w:t xml:space="preserve"> </w:t>
      </w:r>
      <w:r w:rsidRPr="005434CF">
        <w:rPr>
          <w:rFonts w:asciiTheme="minorHAnsi" w:hAnsiTheme="minorHAnsi" w:cstheme="minorHAnsi"/>
          <w:szCs w:val="24"/>
        </w:rPr>
        <w:t>or Request for Proposal (“RFP”) for financial advisor(s) in this case. If additional follow-up information was requested from prospective vendors, please provide such follow-up information.</w:t>
      </w:r>
    </w:p>
    <w:p w14:paraId="0688FF14" w14:textId="70D1E2E6" w:rsidR="005A32C8" w:rsidRPr="005434CF" w:rsidRDefault="005A32C8" w:rsidP="005A32C8">
      <w:pPr>
        <w:spacing w:line="300" w:lineRule="atLeast"/>
        <w:rPr>
          <w:rFonts w:asciiTheme="minorHAnsi" w:hAnsiTheme="minorHAnsi" w:cstheme="minorHAnsi"/>
          <w:szCs w:val="24"/>
        </w:rPr>
      </w:pPr>
      <w:r w:rsidRPr="005434CF">
        <w:rPr>
          <w:rFonts w:asciiTheme="minorHAnsi" w:hAnsiTheme="minorHAnsi" w:cstheme="minorHAnsi"/>
          <w:szCs w:val="24"/>
        </w:rPr>
        <w:t>DR No. 45 - Please provide copies of each prospective vendor’s responses to the Missouri Public Service Commission Staff’s Request for Information (“</w:t>
      </w:r>
      <w:proofErr w:type="spellStart"/>
      <w:r w:rsidRPr="005434CF">
        <w:rPr>
          <w:rFonts w:asciiTheme="minorHAnsi" w:hAnsiTheme="minorHAnsi" w:cstheme="minorHAnsi"/>
          <w:szCs w:val="24"/>
        </w:rPr>
        <w:t>RFI</w:t>
      </w:r>
      <w:proofErr w:type="spellEnd"/>
      <w:r w:rsidRPr="005434CF">
        <w:rPr>
          <w:rFonts w:asciiTheme="minorHAnsi" w:hAnsiTheme="minorHAnsi" w:cstheme="minorHAnsi"/>
          <w:szCs w:val="24"/>
        </w:rPr>
        <w:t>“)</w:t>
      </w:r>
      <w:r w:rsidR="00831F07" w:rsidRPr="005434CF">
        <w:rPr>
          <w:rFonts w:asciiTheme="minorHAnsi" w:hAnsiTheme="minorHAnsi" w:cstheme="minorHAnsi"/>
          <w:szCs w:val="24"/>
        </w:rPr>
        <w:t xml:space="preserve"> </w:t>
      </w:r>
      <w:r w:rsidRPr="005434CF">
        <w:rPr>
          <w:rFonts w:asciiTheme="minorHAnsi" w:hAnsiTheme="minorHAnsi" w:cstheme="minorHAnsi"/>
          <w:szCs w:val="24"/>
        </w:rPr>
        <w:t xml:space="preserve">or Request for Proposal (“RFP”) for bond counsel in this case. </w:t>
      </w:r>
    </w:p>
    <w:p w14:paraId="1A451F12" w14:textId="57DE4A55" w:rsidR="005A32C8" w:rsidRPr="005434CF" w:rsidRDefault="005A32C8">
      <w:pPr>
        <w:rPr>
          <w:rFonts w:asciiTheme="minorHAnsi" w:hAnsiTheme="minorHAnsi" w:cstheme="minorHAnsi"/>
          <w:szCs w:val="24"/>
        </w:rPr>
      </w:pPr>
      <w:proofErr w:type="spellStart"/>
      <w:r w:rsidRPr="005434CF">
        <w:rPr>
          <w:rFonts w:asciiTheme="minorHAnsi" w:hAnsiTheme="minorHAnsi" w:cstheme="minorHAnsi"/>
          <w:szCs w:val="24"/>
        </w:rPr>
        <w:t>DR</w:t>
      </w:r>
      <w:proofErr w:type="spellEnd"/>
      <w:r w:rsidRPr="005434CF">
        <w:rPr>
          <w:rFonts w:asciiTheme="minorHAnsi" w:hAnsiTheme="minorHAnsi" w:cstheme="minorHAnsi"/>
          <w:szCs w:val="24"/>
        </w:rPr>
        <w:t xml:space="preserve"> No. 46 - Please explain the Missouri Public Service Commission Staff’s decision making process in determining to award </w:t>
      </w:r>
      <w:proofErr w:type="spellStart"/>
      <w:r w:rsidRPr="005434CF">
        <w:rPr>
          <w:rFonts w:asciiTheme="minorHAnsi" w:hAnsiTheme="minorHAnsi" w:cstheme="minorHAnsi"/>
          <w:szCs w:val="24"/>
        </w:rPr>
        <w:t>Ducera</w:t>
      </w:r>
      <w:proofErr w:type="spellEnd"/>
      <w:r w:rsidRPr="005434CF">
        <w:rPr>
          <w:rFonts w:asciiTheme="minorHAnsi" w:hAnsiTheme="minorHAnsi" w:cstheme="minorHAnsi"/>
          <w:szCs w:val="24"/>
        </w:rPr>
        <w:t xml:space="preserve"> Partners LLC the financial advisor contract for this case. For example, were specific evaluation criteria used, such as experience in a minimum number of utility securitization transactions, estimated customer savings achieved by the financial advisor(s)’ participation, specific areas of capital market/financial experience, </w:t>
      </w:r>
      <w:proofErr w:type="spellStart"/>
      <w:r w:rsidRPr="005434CF">
        <w:rPr>
          <w:rFonts w:asciiTheme="minorHAnsi" w:hAnsiTheme="minorHAnsi" w:cstheme="minorHAnsi"/>
          <w:szCs w:val="24"/>
        </w:rPr>
        <w:t>etc</w:t>
      </w:r>
      <w:proofErr w:type="spellEnd"/>
      <w:r w:rsidRPr="005434CF">
        <w:rPr>
          <w:rFonts w:asciiTheme="minorHAnsi" w:hAnsiTheme="minorHAnsi" w:cstheme="minorHAnsi"/>
          <w:szCs w:val="24"/>
        </w:rPr>
        <w:t>?</w:t>
      </w:r>
    </w:p>
    <w:p w14:paraId="3B41E62B" w14:textId="6A27E406" w:rsidR="005A32C8" w:rsidRPr="005434CF" w:rsidRDefault="005A32C8" w:rsidP="005A32C8">
      <w:pPr>
        <w:spacing w:line="300" w:lineRule="atLeast"/>
        <w:rPr>
          <w:rFonts w:asciiTheme="minorHAnsi" w:hAnsiTheme="minorHAnsi" w:cstheme="minorHAnsi"/>
          <w:szCs w:val="24"/>
        </w:rPr>
      </w:pPr>
      <w:proofErr w:type="spellStart"/>
      <w:r w:rsidRPr="005434CF">
        <w:rPr>
          <w:rFonts w:asciiTheme="minorHAnsi" w:hAnsiTheme="minorHAnsi" w:cstheme="minorHAnsi"/>
          <w:szCs w:val="24"/>
        </w:rPr>
        <w:t>DR</w:t>
      </w:r>
      <w:proofErr w:type="spellEnd"/>
      <w:r w:rsidRPr="005434CF">
        <w:rPr>
          <w:rFonts w:asciiTheme="minorHAnsi" w:hAnsiTheme="minorHAnsi" w:cstheme="minorHAnsi"/>
          <w:szCs w:val="24"/>
        </w:rPr>
        <w:t xml:space="preserve"> No. 47 - Please provide </w:t>
      </w:r>
      <w:proofErr w:type="spellStart"/>
      <w:r w:rsidRPr="005434CF">
        <w:rPr>
          <w:rFonts w:asciiTheme="minorHAnsi" w:hAnsiTheme="minorHAnsi" w:cstheme="minorHAnsi"/>
          <w:szCs w:val="24"/>
        </w:rPr>
        <w:t>Ducera</w:t>
      </w:r>
      <w:proofErr w:type="spellEnd"/>
      <w:r w:rsidRPr="005434CF">
        <w:rPr>
          <w:rFonts w:asciiTheme="minorHAnsi" w:hAnsiTheme="minorHAnsi" w:cstheme="minorHAnsi"/>
          <w:szCs w:val="24"/>
        </w:rPr>
        <w:t xml:space="preserve"> Partners LLC’s invoices for services provided to date in context of this case. </w:t>
      </w:r>
    </w:p>
    <w:p w14:paraId="3FD4305C" w14:textId="28F837FB" w:rsidR="005A32C8" w:rsidRPr="005434CF" w:rsidRDefault="005A32C8" w:rsidP="005A32C8">
      <w:pPr>
        <w:rPr>
          <w:rFonts w:asciiTheme="minorHAnsi" w:hAnsiTheme="minorHAnsi" w:cstheme="minorHAnsi"/>
          <w:szCs w:val="24"/>
        </w:rPr>
      </w:pPr>
      <w:proofErr w:type="spellStart"/>
      <w:r w:rsidRPr="005434CF">
        <w:rPr>
          <w:rFonts w:asciiTheme="minorHAnsi" w:hAnsiTheme="minorHAnsi" w:cstheme="minorHAnsi"/>
          <w:szCs w:val="24"/>
        </w:rPr>
        <w:t>DR</w:t>
      </w:r>
      <w:proofErr w:type="spellEnd"/>
      <w:r w:rsidRPr="005434CF">
        <w:rPr>
          <w:rFonts w:asciiTheme="minorHAnsi" w:hAnsiTheme="minorHAnsi" w:cstheme="minorHAnsi"/>
          <w:szCs w:val="24"/>
        </w:rPr>
        <w:t xml:space="preserve"> No. 48 - Please provide Staff’s outside bond counsel’s invoices for services provided to date in context of this case.</w:t>
      </w:r>
    </w:p>
    <w:p w14:paraId="05E39F38" w14:textId="3CD80999" w:rsidR="00FC42BF" w:rsidRPr="005434CF" w:rsidRDefault="00FC42BF" w:rsidP="00FC42BF">
      <w:pPr>
        <w:spacing w:line="300" w:lineRule="atLeast"/>
        <w:rPr>
          <w:rFonts w:asciiTheme="minorHAnsi" w:hAnsiTheme="minorHAnsi" w:cstheme="minorHAnsi"/>
          <w:szCs w:val="24"/>
        </w:rPr>
      </w:pPr>
      <w:proofErr w:type="spellStart"/>
      <w:r w:rsidRPr="005434CF">
        <w:rPr>
          <w:rFonts w:asciiTheme="minorHAnsi" w:hAnsiTheme="minorHAnsi" w:cstheme="minorHAnsi"/>
          <w:szCs w:val="24"/>
        </w:rPr>
        <w:t>DR</w:t>
      </w:r>
      <w:proofErr w:type="spellEnd"/>
      <w:r w:rsidRPr="005434CF">
        <w:rPr>
          <w:rFonts w:asciiTheme="minorHAnsi" w:hAnsiTheme="minorHAnsi" w:cstheme="minorHAnsi"/>
          <w:szCs w:val="24"/>
        </w:rPr>
        <w:t xml:space="preserve"> No. 49 - Please provide </w:t>
      </w:r>
      <w:proofErr w:type="spellStart"/>
      <w:r w:rsidRPr="005434CF">
        <w:rPr>
          <w:rFonts w:asciiTheme="minorHAnsi" w:hAnsiTheme="minorHAnsi" w:cstheme="minorHAnsi"/>
          <w:szCs w:val="24"/>
        </w:rPr>
        <w:t>Ducera</w:t>
      </w:r>
      <w:proofErr w:type="spellEnd"/>
      <w:r w:rsidRPr="005434CF">
        <w:rPr>
          <w:rFonts w:asciiTheme="minorHAnsi" w:hAnsiTheme="minorHAnsi" w:cstheme="minorHAnsi"/>
          <w:szCs w:val="24"/>
        </w:rPr>
        <w:t xml:space="preserve"> Partners LLC’s timesheets for each month in which it billed for services provided in this case. </w:t>
      </w:r>
    </w:p>
    <w:p w14:paraId="7D4BBF72" w14:textId="5DFC7279" w:rsidR="00FC42BF" w:rsidRPr="005434CF" w:rsidRDefault="00FC42BF" w:rsidP="00FC42BF">
      <w:pPr>
        <w:spacing w:line="300" w:lineRule="atLeast"/>
        <w:rPr>
          <w:rFonts w:asciiTheme="minorHAnsi" w:hAnsiTheme="minorHAnsi" w:cstheme="minorHAnsi"/>
          <w:szCs w:val="24"/>
        </w:rPr>
      </w:pPr>
      <w:proofErr w:type="spellStart"/>
      <w:r w:rsidRPr="005434CF">
        <w:rPr>
          <w:rFonts w:asciiTheme="minorHAnsi" w:hAnsiTheme="minorHAnsi" w:cstheme="minorHAnsi"/>
          <w:szCs w:val="24"/>
        </w:rPr>
        <w:lastRenderedPageBreak/>
        <w:t>DR</w:t>
      </w:r>
      <w:proofErr w:type="spellEnd"/>
      <w:r w:rsidRPr="005434CF">
        <w:rPr>
          <w:rFonts w:asciiTheme="minorHAnsi" w:hAnsiTheme="minorHAnsi" w:cstheme="minorHAnsi"/>
          <w:szCs w:val="24"/>
        </w:rPr>
        <w:t xml:space="preserve"> No. 50 - Please provide Staff’s outside bond counsel’s timesheets for each month in which it billed for services provided in this case. </w:t>
      </w:r>
    </w:p>
    <w:p w14:paraId="116AE271" w14:textId="248AC451" w:rsidR="00227B5C" w:rsidRPr="005434CF" w:rsidRDefault="00227B5C" w:rsidP="00227B5C">
      <w:pPr>
        <w:pStyle w:val="NoSpacing"/>
        <w:rPr>
          <w:rFonts w:asciiTheme="minorHAnsi" w:hAnsiTheme="minorHAnsi" w:cstheme="minorHAnsi"/>
        </w:rPr>
      </w:pPr>
      <w:r>
        <w:rPr>
          <w:rFonts w:asciiTheme="minorHAnsi" w:hAnsiTheme="minorHAnsi" w:cstheme="minorHAnsi"/>
          <w:szCs w:val="24"/>
        </w:rPr>
        <w:t xml:space="preserve">In regards to data requests number 51 through 64 Staff objects to these as </w:t>
      </w:r>
      <w:r>
        <w:rPr>
          <w:rFonts w:asciiTheme="minorHAnsi" w:hAnsiTheme="minorHAnsi" w:cstheme="minorHAnsi"/>
        </w:rPr>
        <w:t>irrelevant</w:t>
      </w:r>
      <w:r w:rsidR="00FB73CB">
        <w:rPr>
          <w:rFonts w:asciiTheme="minorHAnsi" w:hAnsiTheme="minorHAnsi" w:cstheme="minorHAnsi"/>
        </w:rPr>
        <w:t>,</w:t>
      </w:r>
      <w:r>
        <w:rPr>
          <w:rFonts w:asciiTheme="minorHAnsi" w:hAnsiTheme="minorHAnsi" w:cstheme="minorHAnsi"/>
        </w:rPr>
        <w:t xml:space="preserve"> not reasonably calculated to lead to the discovery of admissible evidence</w:t>
      </w:r>
      <w:r w:rsidR="00FB73CB">
        <w:rPr>
          <w:rFonts w:asciiTheme="minorHAnsi" w:hAnsiTheme="minorHAnsi" w:cstheme="minorHAnsi"/>
        </w:rPr>
        <w:t xml:space="preserve"> and as violating attorney/client privilege</w:t>
      </w:r>
      <w:r>
        <w:rPr>
          <w:rFonts w:asciiTheme="minorHAnsi" w:hAnsiTheme="minorHAnsi" w:cstheme="minorHAnsi"/>
        </w:rPr>
        <w:t xml:space="preserve">. Much of the requested information in these data requests seeks information controlled by the administrative bodies of the Public Service Commission and the State of Missouri and not information controlled by the Staff. The information requested </w:t>
      </w:r>
      <w:r w:rsidR="00BB0080">
        <w:rPr>
          <w:rFonts w:asciiTheme="minorHAnsi" w:hAnsiTheme="minorHAnsi" w:cstheme="minorHAnsi"/>
        </w:rPr>
        <w:t>references events that occurred in Case Nos. EO-2022-0040, EO-2022-0193 and EF-2022-0155, which do not bear effect on the decisions before the Missouri Public Service Commission in this case, EF-2024-0021.</w:t>
      </w:r>
    </w:p>
    <w:p w14:paraId="514E32D7" w14:textId="7392EAD8" w:rsidR="00227B5C" w:rsidRDefault="00227B5C" w:rsidP="00FC42BF">
      <w:pPr>
        <w:spacing w:line="300" w:lineRule="atLeast"/>
        <w:rPr>
          <w:rFonts w:asciiTheme="minorHAnsi" w:hAnsiTheme="minorHAnsi" w:cstheme="minorHAnsi"/>
          <w:szCs w:val="24"/>
        </w:rPr>
      </w:pPr>
    </w:p>
    <w:p w14:paraId="46F50381" w14:textId="15F774F2" w:rsidR="00FC42BF" w:rsidRPr="005434CF" w:rsidRDefault="00FC42BF" w:rsidP="00FC42BF">
      <w:pPr>
        <w:spacing w:line="300" w:lineRule="atLeast"/>
        <w:rPr>
          <w:rFonts w:asciiTheme="minorHAnsi" w:hAnsiTheme="minorHAnsi" w:cstheme="minorHAnsi"/>
          <w:szCs w:val="24"/>
        </w:rPr>
      </w:pPr>
      <w:proofErr w:type="spellStart"/>
      <w:r w:rsidRPr="005434CF">
        <w:rPr>
          <w:rFonts w:asciiTheme="minorHAnsi" w:hAnsiTheme="minorHAnsi" w:cstheme="minorHAnsi"/>
          <w:szCs w:val="24"/>
        </w:rPr>
        <w:t>DR</w:t>
      </w:r>
      <w:proofErr w:type="spellEnd"/>
      <w:r w:rsidRPr="005434CF">
        <w:rPr>
          <w:rFonts w:asciiTheme="minorHAnsi" w:hAnsiTheme="minorHAnsi" w:cstheme="minorHAnsi"/>
          <w:szCs w:val="24"/>
        </w:rPr>
        <w:t xml:space="preserve"> No. 51 - Please provide copies of each prospective vendor’s responses to the Missouri Public Service Commission Staff’s RFI No. 37530822000349 in Case Nos. EO-2022-0040 and EO-2022-0193 and any other RFI or RFP issued in these cases by Staff. If additional follow-up information was requested from prospective vendors, please provide such follow-up information.</w:t>
      </w:r>
    </w:p>
    <w:p w14:paraId="375756A1" w14:textId="20DD1723" w:rsidR="00FC42BF" w:rsidRPr="005434CF" w:rsidRDefault="00FC42BF" w:rsidP="00FC42BF">
      <w:pPr>
        <w:spacing w:line="300" w:lineRule="atLeast"/>
        <w:rPr>
          <w:rFonts w:asciiTheme="minorHAnsi" w:hAnsiTheme="minorHAnsi" w:cstheme="minorHAnsi"/>
          <w:szCs w:val="24"/>
        </w:rPr>
      </w:pPr>
      <w:proofErr w:type="spellStart"/>
      <w:r w:rsidRPr="005434CF">
        <w:rPr>
          <w:rFonts w:asciiTheme="minorHAnsi" w:hAnsiTheme="minorHAnsi" w:cstheme="minorHAnsi"/>
          <w:szCs w:val="24"/>
        </w:rPr>
        <w:t>DR</w:t>
      </w:r>
      <w:proofErr w:type="spellEnd"/>
      <w:r w:rsidRPr="005434CF">
        <w:rPr>
          <w:rFonts w:asciiTheme="minorHAnsi" w:hAnsiTheme="minorHAnsi" w:cstheme="minorHAnsi"/>
          <w:szCs w:val="24"/>
        </w:rPr>
        <w:t xml:space="preserve"> No. 52 - Please provide copies of each prospective vendor’s responses to the Missouri Public Service Commission Staff’s Request for Information (“RFI“</w:t>
      </w:r>
      <w:proofErr w:type="gramStart"/>
      <w:r w:rsidRPr="005434CF">
        <w:rPr>
          <w:rFonts w:asciiTheme="minorHAnsi" w:hAnsiTheme="minorHAnsi" w:cstheme="minorHAnsi"/>
          <w:szCs w:val="24"/>
        </w:rPr>
        <w:t>)or</w:t>
      </w:r>
      <w:proofErr w:type="gramEnd"/>
      <w:r w:rsidRPr="005434CF">
        <w:rPr>
          <w:rFonts w:asciiTheme="minorHAnsi" w:hAnsiTheme="minorHAnsi" w:cstheme="minorHAnsi"/>
          <w:szCs w:val="24"/>
        </w:rPr>
        <w:t xml:space="preserve"> Request for Proposal (“RFP”) for bond counsel in Case Nos. EO-2022-0040 and EO-2022-0193. If additional follow-up information was requested from prospective vendors, please provide such follow-up information. </w:t>
      </w:r>
    </w:p>
    <w:p w14:paraId="194D5A63" w14:textId="2D6AE424" w:rsidR="00463CEC" w:rsidRPr="005434CF" w:rsidRDefault="00463CEC" w:rsidP="00463CEC">
      <w:pPr>
        <w:spacing w:line="300" w:lineRule="atLeast"/>
        <w:rPr>
          <w:rFonts w:asciiTheme="minorHAnsi" w:hAnsiTheme="minorHAnsi" w:cstheme="minorHAnsi"/>
          <w:szCs w:val="24"/>
        </w:rPr>
      </w:pPr>
      <w:proofErr w:type="spellStart"/>
      <w:r w:rsidRPr="005434CF">
        <w:rPr>
          <w:rFonts w:asciiTheme="minorHAnsi" w:hAnsiTheme="minorHAnsi" w:cstheme="minorHAnsi"/>
          <w:szCs w:val="24"/>
        </w:rPr>
        <w:t>DR</w:t>
      </w:r>
      <w:proofErr w:type="spellEnd"/>
      <w:r w:rsidRPr="005434CF">
        <w:rPr>
          <w:rFonts w:asciiTheme="minorHAnsi" w:hAnsiTheme="minorHAnsi" w:cstheme="minorHAnsi"/>
          <w:szCs w:val="24"/>
        </w:rPr>
        <w:t xml:space="preserve"> No. 53 - Please explain the Missouri Public Service Commission Staff’s’ decision-making process in determining to award </w:t>
      </w:r>
      <w:proofErr w:type="spellStart"/>
      <w:r w:rsidRPr="005434CF">
        <w:rPr>
          <w:rFonts w:asciiTheme="minorHAnsi" w:hAnsiTheme="minorHAnsi" w:cstheme="minorHAnsi"/>
          <w:szCs w:val="24"/>
        </w:rPr>
        <w:t>Ducera</w:t>
      </w:r>
      <w:proofErr w:type="spellEnd"/>
      <w:r w:rsidRPr="005434CF">
        <w:rPr>
          <w:rFonts w:asciiTheme="minorHAnsi" w:hAnsiTheme="minorHAnsi" w:cstheme="minorHAnsi"/>
          <w:szCs w:val="24"/>
        </w:rPr>
        <w:t xml:space="preserve"> Partners LLC the financial advisor contract for Case Nos. EO-2022-0040 and EO-2022-0193. For example, were specific evaluation criteria used, such as experience in a minimum number of utility securitization transactions, estimated customer savings achieved by the financial advisor(s)’ participation, specific areas of capital market/financial experience, </w:t>
      </w:r>
      <w:proofErr w:type="spellStart"/>
      <w:r w:rsidRPr="005434CF">
        <w:rPr>
          <w:rFonts w:asciiTheme="minorHAnsi" w:hAnsiTheme="minorHAnsi" w:cstheme="minorHAnsi"/>
          <w:szCs w:val="24"/>
        </w:rPr>
        <w:t>etc</w:t>
      </w:r>
      <w:proofErr w:type="spellEnd"/>
      <w:r w:rsidRPr="005434CF">
        <w:rPr>
          <w:rFonts w:asciiTheme="minorHAnsi" w:hAnsiTheme="minorHAnsi" w:cstheme="minorHAnsi"/>
          <w:szCs w:val="24"/>
        </w:rPr>
        <w:t xml:space="preserve">? </w:t>
      </w:r>
    </w:p>
    <w:p w14:paraId="68F72E5A" w14:textId="6DBA2E66" w:rsidR="00244945" w:rsidRPr="005434CF" w:rsidRDefault="00A06CBB" w:rsidP="00244945">
      <w:pPr>
        <w:spacing w:line="300" w:lineRule="atLeast"/>
        <w:rPr>
          <w:rFonts w:asciiTheme="minorHAnsi" w:hAnsiTheme="minorHAnsi" w:cstheme="minorHAnsi"/>
          <w:szCs w:val="24"/>
        </w:rPr>
      </w:pPr>
      <w:proofErr w:type="spellStart"/>
      <w:r w:rsidRPr="005434CF">
        <w:rPr>
          <w:rFonts w:asciiTheme="minorHAnsi" w:hAnsiTheme="minorHAnsi" w:cstheme="minorHAnsi"/>
          <w:szCs w:val="24"/>
        </w:rPr>
        <w:t>DR</w:t>
      </w:r>
      <w:proofErr w:type="spellEnd"/>
      <w:r w:rsidRPr="005434CF">
        <w:rPr>
          <w:rFonts w:asciiTheme="minorHAnsi" w:hAnsiTheme="minorHAnsi" w:cstheme="minorHAnsi"/>
          <w:szCs w:val="24"/>
        </w:rPr>
        <w:t xml:space="preserve"> No. 54 - </w:t>
      </w:r>
      <w:r w:rsidR="00244945" w:rsidRPr="005434CF">
        <w:rPr>
          <w:rFonts w:asciiTheme="minorHAnsi" w:hAnsiTheme="minorHAnsi" w:cstheme="minorHAnsi"/>
          <w:szCs w:val="24"/>
        </w:rPr>
        <w:t xml:space="preserve">Please provide </w:t>
      </w:r>
      <w:proofErr w:type="spellStart"/>
      <w:r w:rsidR="00244945" w:rsidRPr="005434CF">
        <w:rPr>
          <w:rFonts w:asciiTheme="minorHAnsi" w:hAnsiTheme="minorHAnsi" w:cstheme="minorHAnsi"/>
          <w:szCs w:val="24"/>
        </w:rPr>
        <w:t>Ducera</w:t>
      </w:r>
      <w:proofErr w:type="spellEnd"/>
      <w:r w:rsidR="00244945" w:rsidRPr="005434CF">
        <w:rPr>
          <w:rFonts w:asciiTheme="minorHAnsi" w:hAnsiTheme="minorHAnsi" w:cstheme="minorHAnsi"/>
          <w:szCs w:val="24"/>
        </w:rPr>
        <w:t xml:space="preserve"> Partners LLC’s invoices for services provided in Case Nos. EO-2022-0040 and EO-2022-0193. </w:t>
      </w:r>
    </w:p>
    <w:p w14:paraId="2CC035A0" w14:textId="789E553C" w:rsidR="00244945" w:rsidRPr="005434CF" w:rsidRDefault="00244945" w:rsidP="00244945">
      <w:pPr>
        <w:spacing w:line="300" w:lineRule="atLeast"/>
        <w:rPr>
          <w:rFonts w:asciiTheme="minorHAnsi" w:hAnsiTheme="minorHAnsi" w:cstheme="minorHAnsi"/>
          <w:szCs w:val="24"/>
        </w:rPr>
      </w:pPr>
      <w:proofErr w:type="spellStart"/>
      <w:r w:rsidRPr="005434CF">
        <w:rPr>
          <w:rFonts w:asciiTheme="minorHAnsi" w:hAnsiTheme="minorHAnsi" w:cstheme="minorHAnsi"/>
          <w:szCs w:val="24"/>
        </w:rPr>
        <w:t>DR</w:t>
      </w:r>
      <w:proofErr w:type="spellEnd"/>
      <w:r w:rsidRPr="005434CF">
        <w:rPr>
          <w:rFonts w:asciiTheme="minorHAnsi" w:hAnsiTheme="minorHAnsi" w:cstheme="minorHAnsi"/>
          <w:szCs w:val="24"/>
        </w:rPr>
        <w:t xml:space="preserve"> No. 5</w:t>
      </w:r>
      <w:r w:rsidR="006C1F95" w:rsidRPr="005434CF">
        <w:rPr>
          <w:rFonts w:asciiTheme="minorHAnsi" w:hAnsiTheme="minorHAnsi" w:cstheme="minorHAnsi"/>
          <w:szCs w:val="24"/>
        </w:rPr>
        <w:t>5</w:t>
      </w:r>
      <w:r w:rsidRPr="005434CF">
        <w:rPr>
          <w:rFonts w:asciiTheme="minorHAnsi" w:hAnsiTheme="minorHAnsi" w:cstheme="minorHAnsi"/>
          <w:szCs w:val="24"/>
        </w:rPr>
        <w:t xml:space="preserve"> - Please provide Staff’s outside bond counsel’s invoices for services provided to date in context of Case Nos. EO-2022-0040 and EO-2022-0193. </w:t>
      </w:r>
    </w:p>
    <w:p w14:paraId="28C81988" w14:textId="1F884BD4" w:rsidR="006C1F95" w:rsidRPr="005434CF" w:rsidRDefault="006C1F95" w:rsidP="006C1F95">
      <w:pPr>
        <w:spacing w:line="300" w:lineRule="atLeast"/>
        <w:rPr>
          <w:rFonts w:asciiTheme="minorHAnsi" w:hAnsiTheme="minorHAnsi" w:cstheme="minorHAnsi"/>
          <w:szCs w:val="24"/>
        </w:rPr>
      </w:pPr>
      <w:proofErr w:type="spellStart"/>
      <w:r w:rsidRPr="005434CF">
        <w:rPr>
          <w:rFonts w:asciiTheme="minorHAnsi" w:hAnsiTheme="minorHAnsi" w:cstheme="minorHAnsi"/>
          <w:szCs w:val="24"/>
        </w:rPr>
        <w:t>DR</w:t>
      </w:r>
      <w:proofErr w:type="spellEnd"/>
      <w:r w:rsidRPr="005434CF">
        <w:rPr>
          <w:rFonts w:asciiTheme="minorHAnsi" w:hAnsiTheme="minorHAnsi" w:cstheme="minorHAnsi"/>
          <w:szCs w:val="24"/>
        </w:rPr>
        <w:t xml:space="preserve"> No. 56 - Please provide </w:t>
      </w:r>
      <w:proofErr w:type="spellStart"/>
      <w:r w:rsidRPr="005434CF">
        <w:rPr>
          <w:rFonts w:asciiTheme="minorHAnsi" w:hAnsiTheme="minorHAnsi" w:cstheme="minorHAnsi"/>
          <w:szCs w:val="24"/>
        </w:rPr>
        <w:t>Ducera</w:t>
      </w:r>
      <w:proofErr w:type="spellEnd"/>
      <w:r w:rsidRPr="005434CF">
        <w:rPr>
          <w:rFonts w:asciiTheme="minorHAnsi" w:hAnsiTheme="minorHAnsi" w:cstheme="minorHAnsi"/>
          <w:szCs w:val="24"/>
        </w:rPr>
        <w:t xml:space="preserve"> Partners LLC’s timesheets for each month in which it billed for services provided in Case Nos. EO-2022-0040 and EO-2022-0193. </w:t>
      </w:r>
    </w:p>
    <w:p w14:paraId="6CDF3A5A" w14:textId="4ACE6DC7" w:rsidR="006C1F95" w:rsidRPr="005434CF" w:rsidRDefault="006C1F95" w:rsidP="006C1F95">
      <w:pPr>
        <w:spacing w:line="300" w:lineRule="atLeast"/>
        <w:rPr>
          <w:rFonts w:asciiTheme="minorHAnsi" w:hAnsiTheme="minorHAnsi" w:cstheme="minorHAnsi"/>
          <w:szCs w:val="24"/>
        </w:rPr>
      </w:pPr>
      <w:proofErr w:type="spellStart"/>
      <w:r w:rsidRPr="005434CF">
        <w:rPr>
          <w:rFonts w:asciiTheme="minorHAnsi" w:hAnsiTheme="minorHAnsi" w:cstheme="minorHAnsi"/>
          <w:szCs w:val="24"/>
        </w:rPr>
        <w:t>DR</w:t>
      </w:r>
      <w:proofErr w:type="spellEnd"/>
      <w:r w:rsidRPr="005434CF">
        <w:rPr>
          <w:rFonts w:asciiTheme="minorHAnsi" w:hAnsiTheme="minorHAnsi" w:cstheme="minorHAnsi"/>
          <w:szCs w:val="24"/>
        </w:rPr>
        <w:t xml:space="preserve"> No. 57 - Please provide Staff’s outside bond counsel’s timesheets for each month in which it billed for services provided in Case Nos. EO-2022-0040 and EO-2022-0193. </w:t>
      </w:r>
    </w:p>
    <w:p w14:paraId="3699B9BC" w14:textId="014B3D77" w:rsidR="006C1F95" w:rsidRPr="005434CF" w:rsidRDefault="006C1F95" w:rsidP="00244945">
      <w:pPr>
        <w:rPr>
          <w:rFonts w:asciiTheme="minorHAnsi" w:hAnsiTheme="minorHAnsi" w:cstheme="minorHAnsi"/>
          <w:szCs w:val="24"/>
        </w:rPr>
      </w:pPr>
      <w:proofErr w:type="spellStart"/>
      <w:r w:rsidRPr="005434CF">
        <w:rPr>
          <w:rFonts w:asciiTheme="minorHAnsi" w:hAnsiTheme="minorHAnsi" w:cstheme="minorHAnsi"/>
          <w:szCs w:val="24"/>
        </w:rPr>
        <w:t>DR</w:t>
      </w:r>
      <w:proofErr w:type="spellEnd"/>
      <w:r w:rsidRPr="005434CF">
        <w:rPr>
          <w:rFonts w:asciiTheme="minorHAnsi" w:hAnsiTheme="minorHAnsi" w:cstheme="minorHAnsi"/>
          <w:szCs w:val="24"/>
        </w:rPr>
        <w:t xml:space="preserve"> No. 58 - Please provide copies of each prospective vendor’s responses to the Missouri Public Service Commission’ Staff’s RFI or RFP for financial advisor(s) in Case No. EF-2022-0155. If additional follow-up information was requested from prospective vendors, please provide such follow-up information.</w:t>
      </w:r>
    </w:p>
    <w:p w14:paraId="14BCBE96" w14:textId="27E8394A" w:rsidR="006C1F95" w:rsidRPr="005434CF" w:rsidRDefault="006C1F95" w:rsidP="006C1F95">
      <w:pPr>
        <w:spacing w:line="300" w:lineRule="atLeast"/>
        <w:rPr>
          <w:rFonts w:asciiTheme="minorHAnsi" w:hAnsiTheme="minorHAnsi" w:cstheme="minorHAnsi"/>
          <w:szCs w:val="24"/>
        </w:rPr>
      </w:pPr>
      <w:proofErr w:type="spellStart"/>
      <w:r w:rsidRPr="005434CF">
        <w:rPr>
          <w:rFonts w:asciiTheme="minorHAnsi" w:hAnsiTheme="minorHAnsi" w:cstheme="minorHAnsi"/>
          <w:szCs w:val="24"/>
        </w:rPr>
        <w:lastRenderedPageBreak/>
        <w:t>DR</w:t>
      </w:r>
      <w:proofErr w:type="spellEnd"/>
      <w:r w:rsidRPr="005434CF">
        <w:rPr>
          <w:rFonts w:asciiTheme="minorHAnsi" w:hAnsiTheme="minorHAnsi" w:cstheme="minorHAnsi"/>
          <w:szCs w:val="24"/>
        </w:rPr>
        <w:t xml:space="preserve"> No. 59 - Please provide copies of each prospective vendor’s responses to the Missouri Public Service Commission Staff’s Request for Information (“RFI“</w:t>
      </w:r>
      <w:proofErr w:type="gramStart"/>
      <w:r w:rsidRPr="005434CF">
        <w:rPr>
          <w:rFonts w:asciiTheme="minorHAnsi" w:hAnsiTheme="minorHAnsi" w:cstheme="minorHAnsi"/>
          <w:szCs w:val="24"/>
        </w:rPr>
        <w:t>)or</w:t>
      </w:r>
      <w:proofErr w:type="gramEnd"/>
      <w:r w:rsidRPr="005434CF">
        <w:rPr>
          <w:rFonts w:asciiTheme="minorHAnsi" w:hAnsiTheme="minorHAnsi" w:cstheme="minorHAnsi"/>
          <w:szCs w:val="24"/>
        </w:rPr>
        <w:t xml:space="preserve"> Request for Proposal (“RFP”) for bond counsel in Case No. EF-2022-0155. If additional follow-up information was requested from prospective vendors, please provide such follow-up information. </w:t>
      </w:r>
    </w:p>
    <w:p w14:paraId="682F01D4" w14:textId="6E65FF4D" w:rsidR="006C1F95" w:rsidRPr="005434CF" w:rsidRDefault="006C1F95" w:rsidP="006C1F95">
      <w:pPr>
        <w:spacing w:line="300" w:lineRule="atLeast"/>
        <w:rPr>
          <w:rFonts w:asciiTheme="minorHAnsi" w:hAnsiTheme="minorHAnsi" w:cstheme="minorHAnsi"/>
          <w:szCs w:val="24"/>
        </w:rPr>
      </w:pPr>
      <w:proofErr w:type="spellStart"/>
      <w:r w:rsidRPr="005434CF">
        <w:rPr>
          <w:rFonts w:asciiTheme="minorHAnsi" w:hAnsiTheme="minorHAnsi" w:cstheme="minorHAnsi"/>
          <w:szCs w:val="24"/>
        </w:rPr>
        <w:t>DR</w:t>
      </w:r>
      <w:proofErr w:type="spellEnd"/>
      <w:r w:rsidRPr="005434CF">
        <w:rPr>
          <w:rFonts w:asciiTheme="minorHAnsi" w:hAnsiTheme="minorHAnsi" w:cstheme="minorHAnsi"/>
          <w:szCs w:val="24"/>
        </w:rPr>
        <w:t xml:space="preserve"> No. 60 - Please explain the Missouri Public Service Commission Staff’s decision making process in determining to award </w:t>
      </w:r>
      <w:proofErr w:type="spellStart"/>
      <w:r w:rsidRPr="005434CF">
        <w:rPr>
          <w:rFonts w:asciiTheme="minorHAnsi" w:hAnsiTheme="minorHAnsi" w:cstheme="minorHAnsi"/>
          <w:szCs w:val="24"/>
        </w:rPr>
        <w:t>Ducera</w:t>
      </w:r>
      <w:proofErr w:type="spellEnd"/>
      <w:r w:rsidRPr="005434CF">
        <w:rPr>
          <w:rFonts w:asciiTheme="minorHAnsi" w:hAnsiTheme="minorHAnsi" w:cstheme="minorHAnsi"/>
          <w:szCs w:val="24"/>
        </w:rPr>
        <w:t xml:space="preserve"> Partners LLC the financial advisor contract for Case No. EF-2022-0155. For example, were specific evaluation criteria used, such as advisement for a minimum number of utility securitization transactions, estimated customer savings achieved by the financial advisor(s)’ participation, specific areas of capital market/financial experience, </w:t>
      </w:r>
      <w:proofErr w:type="spellStart"/>
      <w:r w:rsidRPr="005434CF">
        <w:rPr>
          <w:rFonts w:asciiTheme="minorHAnsi" w:hAnsiTheme="minorHAnsi" w:cstheme="minorHAnsi"/>
          <w:szCs w:val="24"/>
        </w:rPr>
        <w:t>etc</w:t>
      </w:r>
      <w:proofErr w:type="spellEnd"/>
      <w:r w:rsidRPr="005434CF">
        <w:rPr>
          <w:rFonts w:asciiTheme="minorHAnsi" w:hAnsiTheme="minorHAnsi" w:cstheme="minorHAnsi"/>
          <w:szCs w:val="24"/>
        </w:rPr>
        <w:t xml:space="preserve">? </w:t>
      </w:r>
    </w:p>
    <w:p w14:paraId="2F744CF1" w14:textId="1BB8963D" w:rsidR="006C1F95" w:rsidRPr="005434CF" w:rsidRDefault="006C1F95" w:rsidP="006C1F95">
      <w:pPr>
        <w:spacing w:line="300" w:lineRule="atLeast"/>
        <w:rPr>
          <w:rFonts w:asciiTheme="minorHAnsi" w:hAnsiTheme="minorHAnsi" w:cstheme="minorHAnsi"/>
          <w:szCs w:val="24"/>
        </w:rPr>
      </w:pPr>
      <w:proofErr w:type="spellStart"/>
      <w:r w:rsidRPr="005434CF">
        <w:rPr>
          <w:rFonts w:asciiTheme="minorHAnsi" w:hAnsiTheme="minorHAnsi" w:cstheme="minorHAnsi"/>
          <w:szCs w:val="24"/>
        </w:rPr>
        <w:t>DR</w:t>
      </w:r>
      <w:proofErr w:type="spellEnd"/>
      <w:r w:rsidRPr="005434CF">
        <w:rPr>
          <w:rFonts w:asciiTheme="minorHAnsi" w:hAnsiTheme="minorHAnsi" w:cstheme="minorHAnsi"/>
          <w:szCs w:val="24"/>
        </w:rPr>
        <w:t xml:space="preserve"> No. 61 - Please provide </w:t>
      </w:r>
      <w:proofErr w:type="spellStart"/>
      <w:r w:rsidRPr="005434CF">
        <w:rPr>
          <w:rFonts w:asciiTheme="minorHAnsi" w:hAnsiTheme="minorHAnsi" w:cstheme="minorHAnsi"/>
          <w:szCs w:val="24"/>
        </w:rPr>
        <w:t>Ducera</w:t>
      </w:r>
      <w:proofErr w:type="spellEnd"/>
      <w:r w:rsidRPr="005434CF">
        <w:rPr>
          <w:rFonts w:asciiTheme="minorHAnsi" w:hAnsiTheme="minorHAnsi" w:cstheme="minorHAnsi"/>
          <w:szCs w:val="24"/>
        </w:rPr>
        <w:t xml:space="preserve"> Partners LLC’s invoices for services provided in Case No. EF-2022-0155. </w:t>
      </w:r>
    </w:p>
    <w:p w14:paraId="35F12F52" w14:textId="00B11AC2" w:rsidR="006C1F95" w:rsidRPr="005434CF" w:rsidRDefault="006C1F95" w:rsidP="006C1F95">
      <w:pPr>
        <w:spacing w:line="300" w:lineRule="atLeast"/>
        <w:rPr>
          <w:rFonts w:asciiTheme="minorHAnsi" w:hAnsiTheme="minorHAnsi" w:cstheme="minorHAnsi"/>
          <w:szCs w:val="24"/>
        </w:rPr>
      </w:pPr>
      <w:proofErr w:type="spellStart"/>
      <w:r w:rsidRPr="005434CF">
        <w:rPr>
          <w:rFonts w:asciiTheme="minorHAnsi" w:hAnsiTheme="minorHAnsi" w:cstheme="minorHAnsi"/>
          <w:szCs w:val="24"/>
        </w:rPr>
        <w:t>DR</w:t>
      </w:r>
      <w:proofErr w:type="spellEnd"/>
      <w:r w:rsidRPr="005434CF">
        <w:rPr>
          <w:rFonts w:asciiTheme="minorHAnsi" w:hAnsiTheme="minorHAnsi" w:cstheme="minorHAnsi"/>
          <w:szCs w:val="24"/>
        </w:rPr>
        <w:t xml:space="preserve"> No. 62 - Please provide Staff’s outside bond counsel’s invoices for services provided to date in context of Case No. EF-2022-0155. </w:t>
      </w:r>
    </w:p>
    <w:p w14:paraId="353A26C3" w14:textId="12EDDCC9" w:rsidR="006C1F95" w:rsidRPr="005434CF" w:rsidRDefault="006C1F95" w:rsidP="006C1F95">
      <w:pPr>
        <w:spacing w:line="300" w:lineRule="atLeast"/>
        <w:rPr>
          <w:rFonts w:asciiTheme="minorHAnsi" w:hAnsiTheme="minorHAnsi" w:cstheme="minorHAnsi"/>
          <w:szCs w:val="24"/>
        </w:rPr>
      </w:pPr>
      <w:proofErr w:type="spellStart"/>
      <w:r w:rsidRPr="005434CF">
        <w:rPr>
          <w:rFonts w:asciiTheme="minorHAnsi" w:hAnsiTheme="minorHAnsi" w:cstheme="minorHAnsi"/>
          <w:szCs w:val="24"/>
        </w:rPr>
        <w:t>DR</w:t>
      </w:r>
      <w:proofErr w:type="spellEnd"/>
      <w:r w:rsidRPr="005434CF">
        <w:rPr>
          <w:rFonts w:asciiTheme="minorHAnsi" w:hAnsiTheme="minorHAnsi" w:cstheme="minorHAnsi"/>
          <w:szCs w:val="24"/>
        </w:rPr>
        <w:t xml:space="preserve"> No. 63 - Please provide </w:t>
      </w:r>
      <w:proofErr w:type="spellStart"/>
      <w:r w:rsidRPr="005434CF">
        <w:rPr>
          <w:rFonts w:asciiTheme="minorHAnsi" w:hAnsiTheme="minorHAnsi" w:cstheme="minorHAnsi"/>
          <w:szCs w:val="24"/>
        </w:rPr>
        <w:t>Ducera</w:t>
      </w:r>
      <w:proofErr w:type="spellEnd"/>
      <w:r w:rsidRPr="005434CF">
        <w:rPr>
          <w:rFonts w:asciiTheme="minorHAnsi" w:hAnsiTheme="minorHAnsi" w:cstheme="minorHAnsi"/>
          <w:szCs w:val="24"/>
        </w:rPr>
        <w:t xml:space="preserve"> Partners LLC’s timesheets for each month in which it billed for services provided in Case No. EF-2022-0155. </w:t>
      </w:r>
    </w:p>
    <w:p w14:paraId="548D5927" w14:textId="4DA2226E" w:rsidR="006C1F95" w:rsidRPr="005434CF" w:rsidRDefault="006C1F95" w:rsidP="006C1F95">
      <w:pPr>
        <w:spacing w:line="300" w:lineRule="atLeast"/>
        <w:rPr>
          <w:rFonts w:asciiTheme="minorHAnsi" w:hAnsiTheme="minorHAnsi" w:cstheme="minorHAnsi"/>
          <w:szCs w:val="24"/>
        </w:rPr>
      </w:pPr>
      <w:proofErr w:type="spellStart"/>
      <w:r w:rsidRPr="005434CF">
        <w:rPr>
          <w:rFonts w:asciiTheme="minorHAnsi" w:hAnsiTheme="minorHAnsi" w:cstheme="minorHAnsi"/>
          <w:szCs w:val="24"/>
        </w:rPr>
        <w:t>DR</w:t>
      </w:r>
      <w:proofErr w:type="spellEnd"/>
      <w:r w:rsidRPr="005434CF">
        <w:rPr>
          <w:rFonts w:asciiTheme="minorHAnsi" w:hAnsiTheme="minorHAnsi" w:cstheme="minorHAnsi"/>
          <w:szCs w:val="24"/>
        </w:rPr>
        <w:t xml:space="preserve"> No. 64 - Please provide Staff’s outside bond counsel’s timesheets for each month in which it billed for services provided in Case No. EF-2022-0155. </w:t>
      </w:r>
    </w:p>
    <w:p w14:paraId="3E66264C" w14:textId="3D4E6008" w:rsidR="00E26811" w:rsidRPr="00E26811" w:rsidRDefault="00E26811" w:rsidP="00E26811">
      <w:pPr>
        <w:pStyle w:val="Default"/>
        <w:ind w:left="5760"/>
        <w:rPr>
          <w:rFonts w:asciiTheme="minorHAnsi" w:hAnsiTheme="minorHAnsi" w:cstheme="minorHAnsi"/>
          <w:bCs/>
        </w:rPr>
      </w:pPr>
      <w:r w:rsidRPr="00E26811">
        <w:rPr>
          <w:rFonts w:asciiTheme="minorHAnsi" w:hAnsiTheme="minorHAnsi" w:cstheme="minorHAnsi"/>
          <w:bCs/>
        </w:rPr>
        <w:t>Respectfully,</w:t>
      </w:r>
    </w:p>
    <w:p w14:paraId="6FD7FFFC" w14:textId="77777777" w:rsidR="00E26811" w:rsidRPr="00E26811" w:rsidRDefault="00E26811" w:rsidP="00E26811">
      <w:pPr>
        <w:pStyle w:val="Default"/>
        <w:ind w:left="5760"/>
        <w:rPr>
          <w:rFonts w:asciiTheme="minorHAnsi" w:hAnsiTheme="minorHAnsi" w:cstheme="minorHAnsi"/>
          <w:bCs/>
        </w:rPr>
      </w:pPr>
    </w:p>
    <w:p w14:paraId="4C84573D" w14:textId="77777777" w:rsidR="00E26811" w:rsidRPr="00E26811" w:rsidRDefault="00E26811" w:rsidP="00E26811">
      <w:pPr>
        <w:pStyle w:val="Default"/>
        <w:ind w:left="5760"/>
        <w:rPr>
          <w:rFonts w:asciiTheme="minorHAnsi" w:hAnsiTheme="minorHAnsi" w:cstheme="minorHAnsi"/>
          <w:u w:val="single"/>
        </w:rPr>
      </w:pPr>
      <w:r w:rsidRPr="00E26811">
        <w:rPr>
          <w:rFonts w:asciiTheme="minorHAnsi" w:hAnsiTheme="minorHAnsi" w:cstheme="minorHAnsi"/>
          <w:b/>
          <w:bCs/>
          <w:u w:val="single"/>
        </w:rPr>
        <w:t xml:space="preserve">/s/ Whitney Scurlock </w:t>
      </w:r>
    </w:p>
    <w:p w14:paraId="0C13A032" w14:textId="77777777" w:rsidR="00E26811" w:rsidRPr="00E26811" w:rsidRDefault="00E26811" w:rsidP="00E26811">
      <w:pPr>
        <w:pStyle w:val="Default"/>
        <w:ind w:left="5760"/>
        <w:rPr>
          <w:rFonts w:asciiTheme="minorHAnsi" w:hAnsiTheme="minorHAnsi" w:cstheme="minorHAnsi"/>
        </w:rPr>
      </w:pPr>
      <w:r w:rsidRPr="00E26811">
        <w:rPr>
          <w:rFonts w:asciiTheme="minorHAnsi" w:hAnsiTheme="minorHAnsi" w:cstheme="minorHAnsi"/>
        </w:rPr>
        <w:t xml:space="preserve">Whitney Scurlock </w:t>
      </w:r>
    </w:p>
    <w:p w14:paraId="67F55A41" w14:textId="77777777" w:rsidR="00E26811" w:rsidRPr="00E26811" w:rsidRDefault="00E26811" w:rsidP="00E26811">
      <w:pPr>
        <w:pStyle w:val="Default"/>
        <w:ind w:left="5760"/>
        <w:rPr>
          <w:rFonts w:asciiTheme="minorHAnsi" w:hAnsiTheme="minorHAnsi" w:cstheme="minorHAnsi"/>
        </w:rPr>
      </w:pPr>
      <w:r w:rsidRPr="00E26811">
        <w:rPr>
          <w:rFonts w:asciiTheme="minorHAnsi" w:hAnsiTheme="minorHAnsi" w:cstheme="minorHAnsi"/>
        </w:rPr>
        <w:t xml:space="preserve">Chief Deputy Staff Counsel </w:t>
      </w:r>
    </w:p>
    <w:p w14:paraId="4A946361" w14:textId="77777777" w:rsidR="00E26811" w:rsidRPr="00E26811" w:rsidRDefault="00E26811" w:rsidP="00E26811">
      <w:pPr>
        <w:pStyle w:val="Default"/>
        <w:ind w:left="5760"/>
        <w:rPr>
          <w:rFonts w:asciiTheme="minorHAnsi" w:hAnsiTheme="minorHAnsi" w:cstheme="minorHAnsi"/>
        </w:rPr>
      </w:pPr>
      <w:r w:rsidRPr="00E26811">
        <w:rPr>
          <w:rFonts w:asciiTheme="minorHAnsi" w:hAnsiTheme="minorHAnsi" w:cstheme="minorHAnsi"/>
        </w:rPr>
        <w:t xml:space="preserve">Missouri </w:t>
      </w:r>
      <w:proofErr w:type="gramStart"/>
      <w:r w:rsidRPr="00E26811">
        <w:rPr>
          <w:rFonts w:asciiTheme="minorHAnsi" w:hAnsiTheme="minorHAnsi" w:cstheme="minorHAnsi"/>
        </w:rPr>
        <w:t>Bar</w:t>
      </w:r>
      <w:proofErr w:type="gramEnd"/>
      <w:r w:rsidRPr="00E26811">
        <w:rPr>
          <w:rFonts w:asciiTheme="minorHAnsi" w:hAnsiTheme="minorHAnsi" w:cstheme="minorHAnsi"/>
        </w:rPr>
        <w:t xml:space="preserve"> No. 64078 </w:t>
      </w:r>
    </w:p>
    <w:p w14:paraId="39B54C11" w14:textId="77777777" w:rsidR="00E26811" w:rsidRPr="00E26811" w:rsidRDefault="00E26811" w:rsidP="00E26811">
      <w:pPr>
        <w:pStyle w:val="Default"/>
        <w:ind w:left="5760"/>
        <w:rPr>
          <w:rFonts w:asciiTheme="minorHAnsi" w:hAnsiTheme="minorHAnsi" w:cstheme="minorHAnsi"/>
        </w:rPr>
      </w:pPr>
      <w:r w:rsidRPr="00E26811">
        <w:rPr>
          <w:rFonts w:asciiTheme="minorHAnsi" w:hAnsiTheme="minorHAnsi" w:cstheme="minorHAnsi"/>
        </w:rPr>
        <w:t xml:space="preserve">Attorney for the Staff of the </w:t>
      </w:r>
    </w:p>
    <w:p w14:paraId="7B33FB1E" w14:textId="77777777" w:rsidR="00E26811" w:rsidRPr="00E26811" w:rsidRDefault="00E26811" w:rsidP="00E26811">
      <w:pPr>
        <w:pStyle w:val="Default"/>
        <w:ind w:left="5760"/>
        <w:rPr>
          <w:rFonts w:asciiTheme="minorHAnsi" w:hAnsiTheme="minorHAnsi" w:cstheme="minorHAnsi"/>
        </w:rPr>
      </w:pPr>
      <w:r w:rsidRPr="00E26811">
        <w:rPr>
          <w:rFonts w:asciiTheme="minorHAnsi" w:hAnsiTheme="minorHAnsi" w:cstheme="minorHAnsi"/>
        </w:rPr>
        <w:t xml:space="preserve">Missouri Public Service Commission </w:t>
      </w:r>
    </w:p>
    <w:p w14:paraId="1435B107" w14:textId="77777777" w:rsidR="00E26811" w:rsidRPr="00E26811" w:rsidRDefault="00E26811" w:rsidP="00E26811">
      <w:pPr>
        <w:pStyle w:val="Default"/>
        <w:ind w:left="5760"/>
        <w:rPr>
          <w:rFonts w:asciiTheme="minorHAnsi" w:hAnsiTheme="minorHAnsi" w:cstheme="minorHAnsi"/>
        </w:rPr>
      </w:pPr>
      <w:r w:rsidRPr="00E26811">
        <w:rPr>
          <w:rFonts w:asciiTheme="minorHAnsi" w:hAnsiTheme="minorHAnsi" w:cstheme="minorHAnsi"/>
        </w:rPr>
        <w:t xml:space="preserve">P. O. Box 360 </w:t>
      </w:r>
    </w:p>
    <w:p w14:paraId="6AD50839" w14:textId="77777777" w:rsidR="00E26811" w:rsidRPr="00E26811" w:rsidRDefault="00E26811" w:rsidP="00E26811">
      <w:pPr>
        <w:pStyle w:val="Default"/>
        <w:ind w:left="5760"/>
        <w:rPr>
          <w:rFonts w:asciiTheme="minorHAnsi" w:hAnsiTheme="minorHAnsi" w:cstheme="minorHAnsi"/>
        </w:rPr>
      </w:pPr>
      <w:r w:rsidRPr="00E26811">
        <w:rPr>
          <w:rFonts w:asciiTheme="minorHAnsi" w:hAnsiTheme="minorHAnsi" w:cstheme="minorHAnsi"/>
        </w:rPr>
        <w:t xml:space="preserve">Jefferson City, MO 65102 </w:t>
      </w:r>
    </w:p>
    <w:p w14:paraId="09A952C5" w14:textId="77777777" w:rsidR="00E26811" w:rsidRPr="00E26811" w:rsidRDefault="00E26811" w:rsidP="00E26811">
      <w:pPr>
        <w:pStyle w:val="Default"/>
        <w:ind w:left="5760"/>
        <w:rPr>
          <w:rFonts w:asciiTheme="minorHAnsi" w:hAnsiTheme="minorHAnsi" w:cstheme="minorHAnsi"/>
        </w:rPr>
      </w:pPr>
      <w:r w:rsidRPr="00E26811">
        <w:rPr>
          <w:rFonts w:asciiTheme="minorHAnsi" w:hAnsiTheme="minorHAnsi" w:cstheme="minorHAnsi"/>
        </w:rPr>
        <w:t xml:space="preserve">(573) 751-7434 (Telephone) </w:t>
      </w:r>
    </w:p>
    <w:p w14:paraId="3FD8FDF3" w14:textId="77777777" w:rsidR="00E26811" w:rsidRPr="00E26811" w:rsidRDefault="00E26811" w:rsidP="00E26811">
      <w:pPr>
        <w:pStyle w:val="Default"/>
        <w:ind w:left="5760"/>
        <w:rPr>
          <w:rFonts w:asciiTheme="minorHAnsi" w:hAnsiTheme="minorHAnsi" w:cstheme="minorHAnsi"/>
        </w:rPr>
      </w:pPr>
      <w:r w:rsidRPr="00E26811">
        <w:rPr>
          <w:rFonts w:asciiTheme="minorHAnsi" w:hAnsiTheme="minorHAnsi" w:cstheme="minorHAnsi"/>
        </w:rPr>
        <w:t xml:space="preserve">(573) 751-9285 (Fax) </w:t>
      </w:r>
    </w:p>
    <w:p w14:paraId="02931777" w14:textId="77777777" w:rsidR="00E26811" w:rsidRPr="00E26811" w:rsidRDefault="00E26811" w:rsidP="00E26811">
      <w:pPr>
        <w:ind w:left="5760"/>
        <w:rPr>
          <w:rFonts w:asciiTheme="minorHAnsi" w:hAnsiTheme="minorHAnsi" w:cstheme="minorHAnsi"/>
          <w:color w:val="0000FF"/>
          <w:szCs w:val="24"/>
        </w:rPr>
      </w:pPr>
      <w:hyperlink r:id="rId4" w:history="1">
        <w:r w:rsidRPr="00E26811">
          <w:rPr>
            <w:rStyle w:val="Hyperlink"/>
            <w:rFonts w:asciiTheme="minorHAnsi" w:hAnsiTheme="minorHAnsi" w:cstheme="minorHAnsi"/>
            <w:szCs w:val="24"/>
          </w:rPr>
          <w:t>whitney.scurlock@psc.mo.gov</w:t>
        </w:r>
      </w:hyperlink>
    </w:p>
    <w:p w14:paraId="5FF7EEF2" w14:textId="77777777" w:rsidR="00E26811" w:rsidRPr="008A2A83" w:rsidRDefault="00E26811" w:rsidP="00E26811">
      <w:pPr>
        <w:rPr>
          <w:rFonts w:ascii="Arial" w:hAnsi="Arial" w:cs="Arial"/>
          <w:color w:val="0000FF"/>
          <w:szCs w:val="24"/>
        </w:rPr>
      </w:pPr>
    </w:p>
    <w:p w14:paraId="68E84C7E" w14:textId="3A794D3A" w:rsidR="00463CEC" w:rsidRPr="005434CF" w:rsidRDefault="00463CEC" w:rsidP="00FC42BF">
      <w:pPr>
        <w:rPr>
          <w:rFonts w:asciiTheme="minorHAnsi" w:hAnsiTheme="minorHAnsi" w:cstheme="minorHAnsi"/>
          <w:szCs w:val="24"/>
        </w:rPr>
      </w:pPr>
    </w:p>
    <w:p w14:paraId="5F1F8504" w14:textId="25157DC2" w:rsidR="00FC42BF" w:rsidRPr="005434CF" w:rsidRDefault="00FC42BF" w:rsidP="00FC42BF">
      <w:pPr>
        <w:rPr>
          <w:rFonts w:asciiTheme="minorHAnsi" w:hAnsiTheme="minorHAnsi" w:cstheme="minorHAnsi"/>
          <w:szCs w:val="24"/>
        </w:rPr>
      </w:pPr>
    </w:p>
    <w:p w14:paraId="1348FB98" w14:textId="77777777" w:rsidR="00FC42BF" w:rsidRPr="005434CF" w:rsidRDefault="00FC42BF" w:rsidP="00FC42BF">
      <w:pPr>
        <w:spacing w:line="300" w:lineRule="atLeast"/>
        <w:rPr>
          <w:rFonts w:asciiTheme="minorHAnsi" w:hAnsiTheme="minorHAnsi" w:cstheme="minorHAnsi"/>
          <w:szCs w:val="24"/>
        </w:rPr>
      </w:pPr>
    </w:p>
    <w:p w14:paraId="05D6890E" w14:textId="7544F00B" w:rsidR="005A32C8" w:rsidRPr="005434CF" w:rsidRDefault="005A32C8">
      <w:pPr>
        <w:rPr>
          <w:rFonts w:asciiTheme="minorHAnsi" w:hAnsiTheme="minorHAnsi" w:cstheme="minorHAnsi"/>
          <w:szCs w:val="24"/>
        </w:rPr>
      </w:pPr>
    </w:p>
    <w:p w14:paraId="46F48CC9" w14:textId="77777777" w:rsidR="005A32C8" w:rsidRPr="005434CF" w:rsidRDefault="005A32C8">
      <w:pPr>
        <w:rPr>
          <w:rFonts w:asciiTheme="minorHAnsi" w:hAnsiTheme="minorHAnsi" w:cstheme="minorHAnsi"/>
          <w:szCs w:val="24"/>
        </w:rPr>
      </w:pPr>
    </w:p>
    <w:sectPr w:rsidR="005A32C8" w:rsidRPr="005434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2C8"/>
    <w:rsid w:val="00227B5C"/>
    <w:rsid w:val="00244945"/>
    <w:rsid w:val="003E7F3D"/>
    <w:rsid w:val="00463CEC"/>
    <w:rsid w:val="005434CF"/>
    <w:rsid w:val="00576115"/>
    <w:rsid w:val="005A32C8"/>
    <w:rsid w:val="006C1F95"/>
    <w:rsid w:val="007A328C"/>
    <w:rsid w:val="00831F07"/>
    <w:rsid w:val="00A06CBB"/>
    <w:rsid w:val="00BB0080"/>
    <w:rsid w:val="00D72124"/>
    <w:rsid w:val="00E26811"/>
    <w:rsid w:val="00FB73CB"/>
    <w:rsid w:val="00FC4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0A8BF"/>
  <w15:chartTrackingRefBased/>
  <w15:docId w15:val="{C4CEC86D-D2A4-4DEC-B9E6-F442593C5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34CF"/>
    <w:pPr>
      <w:spacing w:after="0" w:line="240" w:lineRule="auto"/>
    </w:pPr>
  </w:style>
  <w:style w:type="paragraph" w:customStyle="1" w:styleId="Default">
    <w:name w:val="Default"/>
    <w:rsid w:val="00E26811"/>
    <w:pPr>
      <w:autoSpaceDE w:val="0"/>
      <w:autoSpaceDN w:val="0"/>
      <w:adjustRightInd w:val="0"/>
      <w:spacing w:after="0" w:line="240" w:lineRule="auto"/>
    </w:pPr>
    <w:rPr>
      <w:rFonts w:ascii="Arial" w:hAnsi="Arial" w:cs="Arial"/>
      <w:color w:val="000000"/>
      <w:szCs w:val="24"/>
    </w:rPr>
  </w:style>
  <w:style w:type="character" w:styleId="Hyperlink">
    <w:name w:val="Hyperlink"/>
    <w:basedOn w:val="DefaultParagraphFont"/>
    <w:uiPriority w:val="99"/>
    <w:unhideWhenUsed/>
    <w:rsid w:val="00E26811"/>
    <w:rPr>
      <w:color w:val="0000FF" w:themeColor="hyperlink"/>
      <w:u w:val="single"/>
    </w:rPr>
  </w:style>
  <w:style w:type="paragraph" w:styleId="ListParagraph">
    <w:name w:val="List Paragraph"/>
    <w:basedOn w:val="Normal"/>
    <w:uiPriority w:val="34"/>
    <w:qFormat/>
    <w:rsid w:val="00E26811"/>
    <w:pPr>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713914">
      <w:bodyDiv w:val="1"/>
      <w:marLeft w:val="0"/>
      <w:marRight w:val="0"/>
      <w:marTop w:val="0"/>
      <w:marBottom w:val="0"/>
      <w:divBdr>
        <w:top w:val="none" w:sz="0" w:space="0" w:color="auto"/>
        <w:left w:val="none" w:sz="0" w:space="0" w:color="auto"/>
        <w:bottom w:val="none" w:sz="0" w:space="0" w:color="auto"/>
        <w:right w:val="none" w:sz="0" w:space="0" w:color="auto"/>
      </w:divBdr>
    </w:div>
    <w:div w:id="336884662">
      <w:bodyDiv w:val="1"/>
      <w:marLeft w:val="0"/>
      <w:marRight w:val="0"/>
      <w:marTop w:val="0"/>
      <w:marBottom w:val="0"/>
      <w:divBdr>
        <w:top w:val="none" w:sz="0" w:space="0" w:color="auto"/>
        <w:left w:val="none" w:sz="0" w:space="0" w:color="auto"/>
        <w:bottom w:val="none" w:sz="0" w:space="0" w:color="auto"/>
        <w:right w:val="none" w:sz="0" w:space="0" w:color="auto"/>
      </w:divBdr>
    </w:div>
    <w:div w:id="440341004">
      <w:bodyDiv w:val="1"/>
      <w:marLeft w:val="0"/>
      <w:marRight w:val="0"/>
      <w:marTop w:val="0"/>
      <w:marBottom w:val="0"/>
      <w:divBdr>
        <w:top w:val="none" w:sz="0" w:space="0" w:color="auto"/>
        <w:left w:val="none" w:sz="0" w:space="0" w:color="auto"/>
        <w:bottom w:val="none" w:sz="0" w:space="0" w:color="auto"/>
        <w:right w:val="none" w:sz="0" w:space="0" w:color="auto"/>
      </w:divBdr>
    </w:div>
    <w:div w:id="606624126">
      <w:bodyDiv w:val="1"/>
      <w:marLeft w:val="0"/>
      <w:marRight w:val="0"/>
      <w:marTop w:val="0"/>
      <w:marBottom w:val="0"/>
      <w:divBdr>
        <w:top w:val="none" w:sz="0" w:space="0" w:color="auto"/>
        <w:left w:val="none" w:sz="0" w:space="0" w:color="auto"/>
        <w:bottom w:val="none" w:sz="0" w:space="0" w:color="auto"/>
        <w:right w:val="none" w:sz="0" w:space="0" w:color="auto"/>
      </w:divBdr>
    </w:div>
    <w:div w:id="621377006">
      <w:bodyDiv w:val="1"/>
      <w:marLeft w:val="0"/>
      <w:marRight w:val="0"/>
      <w:marTop w:val="0"/>
      <w:marBottom w:val="0"/>
      <w:divBdr>
        <w:top w:val="none" w:sz="0" w:space="0" w:color="auto"/>
        <w:left w:val="none" w:sz="0" w:space="0" w:color="auto"/>
        <w:bottom w:val="none" w:sz="0" w:space="0" w:color="auto"/>
        <w:right w:val="none" w:sz="0" w:space="0" w:color="auto"/>
      </w:divBdr>
    </w:div>
    <w:div w:id="791099373">
      <w:bodyDiv w:val="1"/>
      <w:marLeft w:val="0"/>
      <w:marRight w:val="0"/>
      <w:marTop w:val="0"/>
      <w:marBottom w:val="0"/>
      <w:divBdr>
        <w:top w:val="none" w:sz="0" w:space="0" w:color="auto"/>
        <w:left w:val="none" w:sz="0" w:space="0" w:color="auto"/>
        <w:bottom w:val="none" w:sz="0" w:space="0" w:color="auto"/>
        <w:right w:val="none" w:sz="0" w:space="0" w:color="auto"/>
      </w:divBdr>
    </w:div>
    <w:div w:id="839273493">
      <w:bodyDiv w:val="1"/>
      <w:marLeft w:val="0"/>
      <w:marRight w:val="0"/>
      <w:marTop w:val="0"/>
      <w:marBottom w:val="0"/>
      <w:divBdr>
        <w:top w:val="none" w:sz="0" w:space="0" w:color="auto"/>
        <w:left w:val="none" w:sz="0" w:space="0" w:color="auto"/>
        <w:bottom w:val="none" w:sz="0" w:space="0" w:color="auto"/>
        <w:right w:val="none" w:sz="0" w:space="0" w:color="auto"/>
      </w:divBdr>
    </w:div>
    <w:div w:id="920334650">
      <w:bodyDiv w:val="1"/>
      <w:marLeft w:val="0"/>
      <w:marRight w:val="0"/>
      <w:marTop w:val="0"/>
      <w:marBottom w:val="0"/>
      <w:divBdr>
        <w:top w:val="none" w:sz="0" w:space="0" w:color="auto"/>
        <w:left w:val="none" w:sz="0" w:space="0" w:color="auto"/>
        <w:bottom w:val="none" w:sz="0" w:space="0" w:color="auto"/>
        <w:right w:val="none" w:sz="0" w:space="0" w:color="auto"/>
      </w:divBdr>
    </w:div>
    <w:div w:id="977412952">
      <w:bodyDiv w:val="1"/>
      <w:marLeft w:val="0"/>
      <w:marRight w:val="0"/>
      <w:marTop w:val="0"/>
      <w:marBottom w:val="0"/>
      <w:divBdr>
        <w:top w:val="none" w:sz="0" w:space="0" w:color="auto"/>
        <w:left w:val="none" w:sz="0" w:space="0" w:color="auto"/>
        <w:bottom w:val="none" w:sz="0" w:space="0" w:color="auto"/>
        <w:right w:val="none" w:sz="0" w:space="0" w:color="auto"/>
      </w:divBdr>
    </w:div>
    <w:div w:id="1181242381">
      <w:bodyDiv w:val="1"/>
      <w:marLeft w:val="0"/>
      <w:marRight w:val="0"/>
      <w:marTop w:val="0"/>
      <w:marBottom w:val="0"/>
      <w:divBdr>
        <w:top w:val="none" w:sz="0" w:space="0" w:color="auto"/>
        <w:left w:val="none" w:sz="0" w:space="0" w:color="auto"/>
        <w:bottom w:val="none" w:sz="0" w:space="0" w:color="auto"/>
        <w:right w:val="none" w:sz="0" w:space="0" w:color="auto"/>
      </w:divBdr>
    </w:div>
    <w:div w:id="1261569805">
      <w:bodyDiv w:val="1"/>
      <w:marLeft w:val="0"/>
      <w:marRight w:val="0"/>
      <w:marTop w:val="0"/>
      <w:marBottom w:val="0"/>
      <w:divBdr>
        <w:top w:val="none" w:sz="0" w:space="0" w:color="auto"/>
        <w:left w:val="none" w:sz="0" w:space="0" w:color="auto"/>
        <w:bottom w:val="none" w:sz="0" w:space="0" w:color="auto"/>
        <w:right w:val="none" w:sz="0" w:space="0" w:color="auto"/>
      </w:divBdr>
    </w:div>
    <w:div w:id="1273824963">
      <w:bodyDiv w:val="1"/>
      <w:marLeft w:val="0"/>
      <w:marRight w:val="0"/>
      <w:marTop w:val="0"/>
      <w:marBottom w:val="0"/>
      <w:divBdr>
        <w:top w:val="none" w:sz="0" w:space="0" w:color="auto"/>
        <w:left w:val="none" w:sz="0" w:space="0" w:color="auto"/>
        <w:bottom w:val="none" w:sz="0" w:space="0" w:color="auto"/>
        <w:right w:val="none" w:sz="0" w:space="0" w:color="auto"/>
      </w:divBdr>
    </w:div>
    <w:div w:id="1567572079">
      <w:bodyDiv w:val="1"/>
      <w:marLeft w:val="0"/>
      <w:marRight w:val="0"/>
      <w:marTop w:val="0"/>
      <w:marBottom w:val="0"/>
      <w:divBdr>
        <w:top w:val="none" w:sz="0" w:space="0" w:color="auto"/>
        <w:left w:val="none" w:sz="0" w:space="0" w:color="auto"/>
        <w:bottom w:val="none" w:sz="0" w:space="0" w:color="auto"/>
        <w:right w:val="none" w:sz="0" w:space="0" w:color="auto"/>
      </w:divBdr>
    </w:div>
    <w:div w:id="1570916908">
      <w:bodyDiv w:val="1"/>
      <w:marLeft w:val="0"/>
      <w:marRight w:val="0"/>
      <w:marTop w:val="0"/>
      <w:marBottom w:val="0"/>
      <w:divBdr>
        <w:top w:val="none" w:sz="0" w:space="0" w:color="auto"/>
        <w:left w:val="none" w:sz="0" w:space="0" w:color="auto"/>
        <w:bottom w:val="none" w:sz="0" w:space="0" w:color="auto"/>
        <w:right w:val="none" w:sz="0" w:space="0" w:color="auto"/>
      </w:divBdr>
    </w:div>
    <w:div w:id="1906329521">
      <w:bodyDiv w:val="1"/>
      <w:marLeft w:val="0"/>
      <w:marRight w:val="0"/>
      <w:marTop w:val="0"/>
      <w:marBottom w:val="0"/>
      <w:divBdr>
        <w:top w:val="none" w:sz="0" w:space="0" w:color="auto"/>
        <w:left w:val="none" w:sz="0" w:space="0" w:color="auto"/>
        <w:bottom w:val="none" w:sz="0" w:space="0" w:color="auto"/>
        <w:right w:val="none" w:sz="0" w:space="0" w:color="auto"/>
      </w:divBdr>
    </w:div>
    <w:div w:id="211520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hitney.scurlock@psc.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1091</TotalTime>
  <Pages>4</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Bolin, Kim</dc:creator>
  <cp:keywords/>
  <dc:description/>
  <cp:lastModifiedBy>Payne, Whitney</cp:lastModifiedBy>
  <cp:revision>7</cp:revision>
  <dcterms:created xsi:type="dcterms:W3CDTF">2024-03-20T00:55:00Z</dcterms:created>
  <dcterms:modified xsi:type="dcterms:W3CDTF">2024-03-20T19:06:00Z</dcterms:modified>
</cp:coreProperties>
</file>