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5" w:rsidRPr="00B65119" w:rsidRDefault="00C030FA" w:rsidP="00E43345">
      <w:pPr>
        <w:pStyle w:val="Title"/>
        <w:spacing w:after="70"/>
        <w:ind w:left="360"/>
        <w:rPr>
          <w:rFonts w:ascii="Arial" w:hAnsi="Arial" w:cs="Arial"/>
          <w:caps/>
          <w:sz w:val="28"/>
          <w:szCs w:val="28"/>
        </w:rPr>
      </w:pPr>
      <w:r w:rsidRPr="00B65119">
        <w:rPr>
          <w:rFonts w:ascii="Arial" w:hAnsi="Arial" w:cs="Arial"/>
          <w:caps/>
          <w:sz w:val="28"/>
          <w:szCs w:val="28"/>
        </w:rPr>
        <w:t>Before The Public Service Commission</w:t>
      </w:r>
    </w:p>
    <w:p w:rsidR="00C030FA" w:rsidRPr="00B65119" w:rsidRDefault="00C030FA" w:rsidP="00C030FA">
      <w:pPr>
        <w:pStyle w:val="Subtitle"/>
        <w:rPr>
          <w:rFonts w:ascii="Arial" w:hAnsi="Arial" w:cs="Arial"/>
          <w:smallCaps/>
          <w:sz w:val="28"/>
          <w:szCs w:val="28"/>
        </w:rPr>
      </w:pPr>
      <w:r w:rsidRPr="00B65119">
        <w:rPr>
          <w:rFonts w:ascii="Arial" w:hAnsi="Arial" w:cs="Arial"/>
          <w:caps/>
          <w:sz w:val="28"/>
          <w:szCs w:val="28"/>
        </w:rPr>
        <w:t>Of The State Of Missouri</w:t>
      </w:r>
    </w:p>
    <w:p w:rsidR="00C030FA" w:rsidRPr="00B65119" w:rsidRDefault="00C030FA" w:rsidP="00C030FA">
      <w:pPr>
        <w:jc w:val="center"/>
        <w:rPr>
          <w:rFonts w:ascii="Arial" w:hAnsi="Arial" w:cs="Arial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5160"/>
        <w:gridCol w:w="360"/>
        <w:gridCol w:w="3660"/>
      </w:tblGrid>
      <w:tr w:rsidR="00C030FA" w:rsidRPr="00B65119" w:rsidTr="00DE4C75">
        <w:tc>
          <w:tcPr>
            <w:tcW w:w="5160" w:type="dxa"/>
          </w:tcPr>
          <w:p w:rsidR="00C030FA" w:rsidRPr="00B65119" w:rsidRDefault="00C030FA" w:rsidP="00DE4C75">
            <w:pPr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In the Matter of Kansas City Power &amp; Light Company’s Request for Authority to Implement a General Rate Increase for Electric Service.</w:t>
            </w:r>
          </w:p>
        </w:tc>
        <w:tc>
          <w:tcPr>
            <w:tcW w:w="360" w:type="dxa"/>
          </w:tcPr>
          <w:p w:rsidR="00C030FA" w:rsidRPr="00B65119" w:rsidRDefault="00C030FA" w:rsidP="00DE4C75">
            <w:pPr>
              <w:jc w:val="center"/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  <w:p w:rsidR="00C030FA" w:rsidRPr="00B65119" w:rsidRDefault="00C030FA" w:rsidP="00DE4C75">
            <w:pPr>
              <w:jc w:val="center"/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  <w:p w:rsidR="00C030FA" w:rsidRPr="00B65119" w:rsidRDefault="00C030FA" w:rsidP="00DE4C75">
            <w:pPr>
              <w:jc w:val="center"/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</w:tc>
        <w:tc>
          <w:tcPr>
            <w:tcW w:w="3660" w:type="dxa"/>
          </w:tcPr>
          <w:p w:rsidR="00C030FA" w:rsidRPr="00B65119" w:rsidRDefault="00C030FA" w:rsidP="00DE4C75">
            <w:pPr>
              <w:pStyle w:val="Heading3"/>
              <w:rPr>
                <w:rFonts w:ascii="Arial" w:hAnsi="Arial" w:cs="Arial"/>
                <w:b w:val="0"/>
                <w:color w:val="auto"/>
                <w:u w:val="single"/>
              </w:rPr>
            </w:pPr>
            <w:r w:rsidRPr="00B65119">
              <w:rPr>
                <w:rFonts w:ascii="Arial" w:hAnsi="Arial" w:cs="Arial"/>
                <w:color w:val="auto"/>
                <w:u w:val="single"/>
              </w:rPr>
              <w:t>Case No. ER-2012-0174</w:t>
            </w:r>
          </w:p>
          <w:p w:rsidR="00C030FA" w:rsidRPr="00B65119" w:rsidRDefault="00C030FA" w:rsidP="00DE4C75">
            <w:pPr>
              <w:pStyle w:val="Heading3"/>
              <w:spacing w:before="120"/>
              <w:rPr>
                <w:rFonts w:ascii="Arial" w:hAnsi="Arial" w:cs="Arial"/>
                <w:color w:val="auto"/>
              </w:rPr>
            </w:pPr>
          </w:p>
        </w:tc>
      </w:tr>
      <w:tr w:rsidR="00C030FA" w:rsidRPr="00B65119" w:rsidTr="00DE4C75">
        <w:tc>
          <w:tcPr>
            <w:tcW w:w="5160" w:type="dxa"/>
          </w:tcPr>
          <w:p w:rsidR="00C030FA" w:rsidRPr="00B65119" w:rsidRDefault="00C030FA" w:rsidP="00DE4C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C030FA" w:rsidRPr="00B65119" w:rsidRDefault="00C030FA" w:rsidP="00DE4C75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</w:tcPr>
          <w:p w:rsidR="00C030FA" w:rsidRPr="00B65119" w:rsidRDefault="00C030FA" w:rsidP="00DE4C75">
            <w:pPr>
              <w:pStyle w:val="Heading3"/>
              <w:rPr>
                <w:rFonts w:ascii="Arial" w:hAnsi="Arial" w:cs="Arial"/>
                <w:color w:val="auto"/>
              </w:rPr>
            </w:pPr>
          </w:p>
        </w:tc>
      </w:tr>
      <w:tr w:rsidR="00C030FA" w:rsidRPr="00B65119" w:rsidTr="00DE4C75">
        <w:tc>
          <w:tcPr>
            <w:tcW w:w="5160" w:type="dxa"/>
          </w:tcPr>
          <w:p w:rsidR="00C030FA" w:rsidRPr="00B65119" w:rsidRDefault="00C030FA" w:rsidP="00DE4C75">
            <w:pPr>
              <w:jc w:val="both"/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In the Matter of KCP&amp;L Greater Missouri Operations Company’s Request for Authority to Implement General Rate Increase for Electric Service.</w:t>
            </w:r>
          </w:p>
        </w:tc>
        <w:tc>
          <w:tcPr>
            <w:tcW w:w="360" w:type="dxa"/>
          </w:tcPr>
          <w:p w:rsidR="00C030FA" w:rsidRPr="00B65119" w:rsidRDefault="00C030FA" w:rsidP="00DE4C75">
            <w:pPr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  <w:p w:rsidR="00C030FA" w:rsidRPr="00B65119" w:rsidRDefault="00C030FA" w:rsidP="00DE4C75">
            <w:pPr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  <w:p w:rsidR="00C030FA" w:rsidRPr="00B65119" w:rsidRDefault="00C030FA" w:rsidP="00DE4C75">
            <w:pPr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  <w:p w:rsidR="00C030FA" w:rsidRPr="00B65119" w:rsidRDefault="00C030FA" w:rsidP="00DE4C75">
            <w:pPr>
              <w:rPr>
                <w:rFonts w:ascii="Arial" w:hAnsi="Arial" w:cs="Arial"/>
              </w:rPr>
            </w:pPr>
            <w:r w:rsidRPr="00B65119">
              <w:rPr>
                <w:rFonts w:ascii="Arial" w:hAnsi="Arial" w:cs="Arial"/>
              </w:rPr>
              <w:t>)</w:t>
            </w:r>
          </w:p>
        </w:tc>
        <w:tc>
          <w:tcPr>
            <w:tcW w:w="3660" w:type="dxa"/>
          </w:tcPr>
          <w:p w:rsidR="00C030FA" w:rsidRPr="00B65119" w:rsidRDefault="00C030FA" w:rsidP="00DE4C75">
            <w:pPr>
              <w:pStyle w:val="Heading3"/>
              <w:rPr>
                <w:rFonts w:ascii="Arial" w:hAnsi="Arial" w:cs="Arial"/>
                <w:b w:val="0"/>
                <w:color w:val="auto"/>
                <w:u w:val="single"/>
              </w:rPr>
            </w:pPr>
            <w:r w:rsidRPr="00B65119">
              <w:rPr>
                <w:rFonts w:ascii="Arial" w:hAnsi="Arial" w:cs="Arial"/>
                <w:color w:val="auto"/>
                <w:u w:val="single"/>
              </w:rPr>
              <w:t>Case No. ER-2012-0175</w:t>
            </w:r>
          </w:p>
          <w:p w:rsidR="00C030FA" w:rsidRPr="00B65119" w:rsidRDefault="00C030FA" w:rsidP="00DE4C75">
            <w:pPr>
              <w:pStyle w:val="Heading3"/>
              <w:rPr>
                <w:rFonts w:ascii="Arial" w:hAnsi="Arial" w:cs="Arial"/>
                <w:color w:val="auto"/>
              </w:rPr>
            </w:pPr>
          </w:p>
        </w:tc>
      </w:tr>
    </w:tbl>
    <w:p w:rsidR="00C030FA" w:rsidRPr="00B65119" w:rsidRDefault="00C030FA" w:rsidP="00C03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u w:val="single"/>
        </w:rPr>
      </w:pPr>
    </w:p>
    <w:p w:rsidR="00F02C27" w:rsidRPr="00B65119" w:rsidRDefault="00DE4C75">
      <w:pPr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Joint Motion For Two-Day Extension of True-Up Direct Testimony</w:t>
      </w:r>
    </w:p>
    <w:p w:rsidR="00F02C27" w:rsidRPr="00B65119" w:rsidRDefault="00F02C27">
      <w:pPr>
        <w:jc w:val="center"/>
        <w:rPr>
          <w:rFonts w:ascii="Arial" w:hAnsi="Arial" w:cs="Arial"/>
          <w:b/>
          <w:bCs/>
        </w:rPr>
      </w:pPr>
    </w:p>
    <w:p w:rsidR="00F02C27" w:rsidRDefault="00F02C27" w:rsidP="00DE4C75">
      <w:pPr>
        <w:spacing w:line="480" w:lineRule="auto"/>
        <w:rPr>
          <w:rFonts w:ascii="Arial" w:hAnsi="Arial" w:cs="Arial"/>
        </w:rPr>
      </w:pPr>
      <w:r w:rsidRPr="00B65119">
        <w:rPr>
          <w:rFonts w:ascii="Arial" w:hAnsi="Arial" w:cs="Arial"/>
          <w:b/>
          <w:bCs/>
        </w:rPr>
        <w:tab/>
      </w:r>
      <w:r w:rsidR="00B65119">
        <w:rPr>
          <w:rFonts w:ascii="Arial" w:hAnsi="Arial" w:cs="Arial"/>
          <w:b/>
          <w:smallCaps/>
        </w:rPr>
        <w:t>COME NOW</w:t>
      </w:r>
      <w:r w:rsidR="00DE4C75">
        <w:rPr>
          <w:rFonts w:ascii="Arial" w:hAnsi="Arial" w:cs="Arial"/>
        </w:rPr>
        <w:t xml:space="preserve"> Kansas City Power &amp; Light Company (KCP&amp;L) and KCP&amp;L Greater Missouri Operations Company (GMO)(collectively, “the Companies”) </w:t>
      </w:r>
      <w:r w:rsidR="007C22C9" w:rsidRPr="00B65119">
        <w:rPr>
          <w:rFonts w:ascii="Arial" w:hAnsi="Arial" w:cs="Arial"/>
        </w:rPr>
        <w:t>and</w:t>
      </w:r>
      <w:r w:rsidR="0086788D" w:rsidRPr="00B65119">
        <w:rPr>
          <w:rFonts w:ascii="Arial" w:hAnsi="Arial" w:cs="Arial"/>
        </w:rPr>
        <w:t>,</w:t>
      </w:r>
      <w:r w:rsidR="008B5BB0">
        <w:rPr>
          <w:rFonts w:ascii="Arial" w:hAnsi="Arial" w:cs="Arial"/>
        </w:rPr>
        <w:t xml:space="preserve"> on behalf of certain</w:t>
      </w:r>
      <w:r w:rsidR="007C22C9" w:rsidRPr="00B65119">
        <w:rPr>
          <w:rFonts w:ascii="Arial" w:hAnsi="Arial" w:cs="Arial"/>
        </w:rPr>
        <w:t xml:space="preserve"> parties to these respective</w:t>
      </w:r>
      <w:r w:rsidR="00DE4C75">
        <w:rPr>
          <w:rFonts w:ascii="Arial" w:hAnsi="Arial" w:cs="Arial"/>
        </w:rPr>
        <w:t xml:space="preserve"> </w:t>
      </w:r>
      <w:r w:rsidR="0086788D" w:rsidRPr="00B65119">
        <w:rPr>
          <w:rFonts w:ascii="Arial" w:hAnsi="Arial" w:cs="Arial"/>
        </w:rPr>
        <w:t>cases</w:t>
      </w:r>
      <w:r w:rsidR="0007590A">
        <w:rPr>
          <w:rFonts w:ascii="Arial" w:hAnsi="Arial" w:cs="Arial"/>
        </w:rPr>
        <w:t>,</w:t>
      </w:r>
      <w:r w:rsidR="0086788D" w:rsidRPr="00B65119">
        <w:rPr>
          <w:rFonts w:ascii="Arial" w:hAnsi="Arial" w:cs="Arial"/>
        </w:rPr>
        <w:t xml:space="preserve"> and </w:t>
      </w:r>
      <w:r w:rsidR="00DE4C75">
        <w:rPr>
          <w:rFonts w:ascii="Arial" w:hAnsi="Arial" w:cs="Arial"/>
        </w:rPr>
        <w:t xml:space="preserve"> </w:t>
      </w:r>
      <w:r w:rsidR="007C22C9" w:rsidRPr="00B65119">
        <w:rPr>
          <w:rFonts w:ascii="Arial" w:hAnsi="Arial" w:cs="Arial"/>
        </w:rPr>
        <w:t xml:space="preserve">proposes the Commission </w:t>
      </w:r>
      <w:r w:rsidR="00A96797" w:rsidRPr="00B65119">
        <w:rPr>
          <w:rFonts w:ascii="Arial" w:hAnsi="Arial" w:cs="Arial"/>
        </w:rPr>
        <w:t xml:space="preserve">issue </w:t>
      </w:r>
      <w:r w:rsidR="00835E94" w:rsidRPr="00B65119">
        <w:rPr>
          <w:rFonts w:ascii="Arial" w:hAnsi="Arial" w:cs="Arial"/>
        </w:rPr>
        <w:t xml:space="preserve">an Order </w:t>
      </w:r>
      <w:r w:rsidR="00DE4C75">
        <w:rPr>
          <w:rFonts w:ascii="Arial" w:hAnsi="Arial" w:cs="Arial"/>
        </w:rPr>
        <w:t xml:space="preserve">granting </w:t>
      </w:r>
      <w:proofErr w:type="spellStart"/>
      <w:r w:rsidR="00DE4C75">
        <w:rPr>
          <w:rFonts w:ascii="Arial" w:hAnsi="Arial" w:cs="Arial"/>
        </w:rPr>
        <w:t>a</w:t>
      </w:r>
      <w:proofErr w:type="spellEnd"/>
      <w:r w:rsidR="00DE4C75">
        <w:rPr>
          <w:rFonts w:ascii="Arial" w:hAnsi="Arial" w:cs="Arial"/>
        </w:rPr>
        <w:t xml:space="preserve"> two-day extension of the filing of True-Up Direct Testimony until Thursday, November 8, 2012.   In support of this motion, the Companies state </w:t>
      </w:r>
      <w:r w:rsidR="007C22C9" w:rsidRPr="00B65119">
        <w:rPr>
          <w:rFonts w:ascii="Arial" w:hAnsi="Arial" w:cs="Arial"/>
        </w:rPr>
        <w:t>as follows:</w:t>
      </w:r>
      <w:r w:rsidR="00EA521E" w:rsidRPr="00B65119">
        <w:rPr>
          <w:rFonts w:ascii="Arial" w:hAnsi="Arial" w:cs="Arial"/>
        </w:rPr>
        <w:t xml:space="preserve"> </w:t>
      </w:r>
    </w:p>
    <w:p w:rsidR="00DE4C75" w:rsidRDefault="0007590A" w:rsidP="00DE4C7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 xml:space="preserve">On </w:t>
      </w:r>
      <w:r w:rsidR="00DE162E">
        <w:rPr>
          <w:rFonts w:ascii="Arial" w:hAnsi="Arial" w:cs="Arial"/>
        </w:rPr>
        <w:t>April 26</w:t>
      </w:r>
      <w:r w:rsidR="00DE4C75">
        <w:rPr>
          <w:rFonts w:ascii="Arial" w:hAnsi="Arial" w:cs="Arial"/>
        </w:rPr>
        <w:t xml:space="preserve">, 2012, the Commission issued its </w:t>
      </w:r>
      <w:r w:rsidR="00DE4C75" w:rsidRPr="00DE162E">
        <w:rPr>
          <w:rFonts w:ascii="Arial" w:hAnsi="Arial" w:cs="Arial"/>
          <w:i/>
        </w:rPr>
        <w:t xml:space="preserve">Order </w:t>
      </w:r>
      <w:r w:rsidR="00DE162E" w:rsidRPr="00DE162E">
        <w:rPr>
          <w:rFonts w:ascii="Arial" w:hAnsi="Arial" w:cs="Arial"/>
          <w:i/>
        </w:rPr>
        <w:t xml:space="preserve">Consolidating Cases </w:t>
      </w:r>
      <w:proofErr w:type="gramStart"/>
      <w:r w:rsidR="00DE162E" w:rsidRPr="00DE162E">
        <w:rPr>
          <w:rFonts w:ascii="Arial" w:hAnsi="Arial" w:cs="Arial"/>
          <w:i/>
        </w:rPr>
        <w:t>For</w:t>
      </w:r>
      <w:proofErr w:type="gramEnd"/>
      <w:r w:rsidR="00DE162E" w:rsidRPr="00DE162E">
        <w:rPr>
          <w:rFonts w:ascii="Arial" w:hAnsi="Arial" w:cs="Arial"/>
          <w:i/>
        </w:rPr>
        <w:t xml:space="preserve"> Hearing and Setting </w:t>
      </w:r>
      <w:r w:rsidR="00DE4C75" w:rsidRPr="00DE162E">
        <w:rPr>
          <w:rFonts w:ascii="Arial" w:hAnsi="Arial" w:cs="Arial"/>
          <w:i/>
        </w:rPr>
        <w:t>Procedural Schedule</w:t>
      </w:r>
      <w:r w:rsidR="00DE162E" w:rsidRPr="00DE162E">
        <w:rPr>
          <w:rFonts w:ascii="Arial" w:hAnsi="Arial" w:cs="Arial"/>
          <w:i/>
        </w:rPr>
        <w:t>, and Amended Notice of Hearing</w:t>
      </w:r>
      <w:r w:rsidR="00DE4C75" w:rsidRPr="00DE162E">
        <w:rPr>
          <w:rFonts w:ascii="Arial" w:hAnsi="Arial" w:cs="Arial"/>
          <w:i/>
        </w:rPr>
        <w:t xml:space="preserve"> </w:t>
      </w:r>
      <w:r w:rsidR="00DE4C75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 xml:space="preserve">approved </w:t>
      </w:r>
      <w:r w:rsidR="00DE162E">
        <w:rPr>
          <w:rFonts w:ascii="Arial" w:hAnsi="Arial" w:cs="Arial"/>
        </w:rPr>
        <w:t xml:space="preserve">a procedural schedule that </w:t>
      </w:r>
      <w:r w:rsidR="00DE4C75">
        <w:rPr>
          <w:rFonts w:ascii="Arial" w:hAnsi="Arial" w:cs="Arial"/>
        </w:rPr>
        <w:t xml:space="preserve">included, </w:t>
      </w:r>
      <w:r w:rsidR="00DE4C75" w:rsidRPr="00DE162E">
        <w:rPr>
          <w:rFonts w:ascii="Arial" w:hAnsi="Arial" w:cs="Arial"/>
          <w:i/>
        </w:rPr>
        <w:t>inter alia</w:t>
      </w:r>
      <w:r w:rsidR="00DE4C75">
        <w:rPr>
          <w:rFonts w:ascii="Arial" w:hAnsi="Arial" w:cs="Arial"/>
        </w:rPr>
        <w:t>, the filing of True-Up Direct Testimony on November 6, 2012, and True-Up Rebuttal Testimony on November 13, 2012.</w:t>
      </w:r>
    </w:p>
    <w:p w:rsidR="00B76F13" w:rsidRDefault="00DE4C75" w:rsidP="001519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The Companies, Staff, Public Counsel and M</w:t>
      </w:r>
      <w:r w:rsidR="001519C3">
        <w:rPr>
          <w:rFonts w:ascii="Arial" w:hAnsi="Arial" w:cs="Arial"/>
        </w:rPr>
        <w:t>idwest Energy Consumers’ Group (“MECG”)</w:t>
      </w:r>
      <w:r w:rsidR="001519C3">
        <w:rPr>
          <w:rStyle w:val="FootnoteReference"/>
        </w:rPr>
        <w:footnoteReference w:id="2"/>
      </w:r>
      <w:r>
        <w:rPr>
          <w:rFonts w:ascii="Arial" w:hAnsi="Arial" w:cs="Arial"/>
        </w:rPr>
        <w:t xml:space="preserve"> have been discussing</w:t>
      </w:r>
      <w:r w:rsidR="00DE162E">
        <w:rPr>
          <w:rFonts w:ascii="Arial" w:hAnsi="Arial" w:cs="Arial"/>
        </w:rPr>
        <w:t xml:space="preserve"> and exchanging</w:t>
      </w:r>
      <w:r>
        <w:rPr>
          <w:rFonts w:ascii="Arial" w:hAnsi="Arial" w:cs="Arial"/>
        </w:rPr>
        <w:t xml:space="preserve"> certain information related to </w:t>
      </w:r>
      <w:r>
        <w:rPr>
          <w:rFonts w:ascii="Arial" w:hAnsi="Arial" w:cs="Arial"/>
        </w:rPr>
        <w:lastRenderedPageBreak/>
        <w:t>the filing of True-Up Direct Testimony, and it is apparent to the</w:t>
      </w:r>
      <w:r w:rsidR="001519C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parties that additional time will be needed to complete</w:t>
      </w:r>
      <w:r w:rsidR="00DE162E">
        <w:rPr>
          <w:rFonts w:ascii="Arial" w:hAnsi="Arial" w:cs="Arial"/>
        </w:rPr>
        <w:t xml:space="preserve"> and file </w:t>
      </w:r>
      <w:r>
        <w:rPr>
          <w:rFonts w:ascii="Arial" w:hAnsi="Arial" w:cs="Arial"/>
        </w:rPr>
        <w:t>their respective True-Up Direct Testimony.  The parties believe that a two-day extension of the True-Up Direct</w:t>
      </w:r>
      <w:r w:rsidR="00DE162E">
        <w:rPr>
          <w:rFonts w:ascii="Arial" w:hAnsi="Arial" w:cs="Arial"/>
        </w:rPr>
        <w:t xml:space="preserve"> Testimony deadline </w:t>
      </w:r>
      <w:r>
        <w:rPr>
          <w:rFonts w:ascii="Arial" w:hAnsi="Arial" w:cs="Arial"/>
        </w:rPr>
        <w:t xml:space="preserve">will be necessary, but that they may be able to file True-Up Rebuttal Testimony on </w:t>
      </w:r>
      <w:r w:rsidR="001519C3">
        <w:rPr>
          <w:rFonts w:ascii="Arial" w:hAnsi="Arial" w:cs="Arial"/>
        </w:rPr>
        <w:t xml:space="preserve">November 13, 2012, as currently scheduled.  </w:t>
      </w:r>
      <w:r w:rsidR="0007590A">
        <w:rPr>
          <w:rFonts w:ascii="Arial" w:hAnsi="Arial" w:cs="Arial"/>
        </w:rPr>
        <w:t>As a result, the remainder of the procedural schedule should not be affected by this request.</w:t>
      </w:r>
    </w:p>
    <w:p w:rsidR="00B76F13" w:rsidRPr="00B76F13" w:rsidRDefault="00B76F13" w:rsidP="00B76F13">
      <w:pPr>
        <w:autoSpaceDE w:val="0"/>
        <w:autoSpaceDN w:val="0"/>
        <w:adjustRightInd w:val="0"/>
        <w:ind w:left="720" w:right="720" w:firstLine="720"/>
        <w:rPr>
          <w:rFonts w:ascii="Arial" w:hAnsi="Arial" w:cs="Arial"/>
        </w:rPr>
      </w:pPr>
    </w:p>
    <w:p w:rsidR="00322A29" w:rsidRDefault="009D1B57">
      <w:pPr>
        <w:spacing w:line="480" w:lineRule="auto"/>
        <w:jc w:val="both"/>
        <w:rPr>
          <w:rFonts w:ascii="Arial" w:hAnsi="Arial" w:cs="Arial"/>
        </w:rPr>
      </w:pPr>
      <w:r w:rsidRPr="00B65119">
        <w:rPr>
          <w:rFonts w:ascii="Arial" w:hAnsi="Arial" w:cs="Arial"/>
        </w:rPr>
        <w:tab/>
      </w:r>
      <w:r w:rsidR="001F2AD5" w:rsidRPr="001F2AD5">
        <w:rPr>
          <w:rFonts w:ascii="Arial" w:hAnsi="Arial" w:cs="Arial"/>
          <w:b/>
        </w:rPr>
        <w:t>WHEREFORE</w:t>
      </w:r>
      <w:r w:rsidRPr="00B65119">
        <w:rPr>
          <w:rFonts w:ascii="Arial" w:hAnsi="Arial" w:cs="Arial"/>
        </w:rPr>
        <w:t xml:space="preserve">, </w:t>
      </w:r>
      <w:r w:rsidR="001519C3">
        <w:rPr>
          <w:rFonts w:ascii="Arial" w:hAnsi="Arial" w:cs="Arial"/>
        </w:rPr>
        <w:t xml:space="preserve">the Companies </w:t>
      </w:r>
      <w:r w:rsidRPr="00B65119">
        <w:rPr>
          <w:rFonts w:ascii="Arial" w:hAnsi="Arial" w:cs="Arial"/>
        </w:rPr>
        <w:t xml:space="preserve">respectfully </w:t>
      </w:r>
      <w:r w:rsidR="00EF60EB" w:rsidRPr="00B65119">
        <w:rPr>
          <w:rFonts w:ascii="Arial" w:hAnsi="Arial" w:cs="Arial"/>
        </w:rPr>
        <w:t>submit</w:t>
      </w:r>
      <w:r w:rsidR="008B5BB0">
        <w:rPr>
          <w:rFonts w:ascii="Arial" w:hAnsi="Arial" w:cs="Arial"/>
        </w:rPr>
        <w:t xml:space="preserve">, on behalf of </w:t>
      </w:r>
      <w:r w:rsidR="00DE162E">
        <w:rPr>
          <w:rFonts w:ascii="Arial" w:hAnsi="Arial" w:cs="Arial"/>
        </w:rPr>
        <w:t xml:space="preserve">the above-referenced </w:t>
      </w:r>
      <w:r w:rsidR="00EF60EB" w:rsidRPr="00B65119">
        <w:rPr>
          <w:rFonts w:ascii="Arial" w:hAnsi="Arial" w:cs="Arial"/>
        </w:rPr>
        <w:t>p</w:t>
      </w:r>
      <w:r w:rsidRPr="00B65119">
        <w:rPr>
          <w:rFonts w:ascii="Arial" w:hAnsi="Arial" w:cs="Arial"/>
        </w:rPr>
        <w:t>arties, th</w:t>
      </w:r>
      <w:r w:rsidR="00835E94" w:rsidRPr="00B65119">
        <w:rPr>
          <w:rFonts w:ascii="Arial" w:hAnsi="Arial" w:cs="Arial"/>
        </w:rPr>
        <w:t>is</w:t>
      </w:r>
      <w:r w:rsidR="00304C81" w:rsidRPr="00B65119">
        <w:rPr>
          <w:rFonts w:ascii="Arial" w:hAnsi="Arial" w:cs="Arial"/>
        </w:rPr>
        <w:t xml:space="preserve"> </w:t>
      </w:r>
      <w:r w:rsidR="001519C3">
        <w:rPr>
          <w:rFonts w:ascii="Arial" w:hAnsi="Arial" w:cs="Arial"/>
        </w:rPr>
        <w:t xml:space="preserve">joint motion to request a two-day extension of the filing of True-Up Direct Testimony until November 8, 2012, in both Case Nos. </w:t>
      </w:r>
      <w:proofErr w:type="gramStart"/>
      <w:r w:rsidR="001519C3">
        <w:rPr>
          <w:rFonts w:ascii="Arial" w:hAnsi="Arial" w:cs="Arial"/>
        </w:rPr>
        <w:t>ER-2012-0174 and ER-2012-0175.</w:t>
      </w:r>
      <w:proofErr w:type="gramEnd"/>
      <w:r w:rsidR="001519C3">
        <w:rPr>
          <w:rFonts w:ascii="Arial" w:hAnsi="Arial" w:cs="Arial"/>
        </w:rPr>
        <w:t xml:space="preserve">  </w:t>
      </w:r>
      <w:r w:rsidRPr="00B65119">
        <w:rPr>
          <w:rFonts w:ascii="Arial" w:hAnsi="Arial" w:cs="Arial"/>
        </w:rPr>
        <w:tab/>
      </w:r>
    </w:p>
    <w:p w:rsidR="00F02C27" w:rsidRDefault="009D1B57" w:rsidP="00DE162E">
      <w:pPr>
        <w:spacing w:line="480" w:lineRule="auto"/>
        <w:jc w:val="both"/>
        <w:rPr>
          <w:rFonts w:ascii="Arial" w:hAnsi="Arial" w:cs="Arial"/>
        </w:rPr>
      </w:pPr>
      <w:r w:rsidRPr="00B65119">
        <w:rPr>
          <w:rFonts w:ascii="Arial" w:hAnsi="Arial" w:cs="Arial"/>
        </w:rPr>
        <w:t xml:space="preserve">   </w:t>
      </w:r>
      <w:r w:rsidR="00F02C27" w:rsidRPr="00B65119">
        <w:rPr>
          <w:rFonts w:ascii="Arial" w:hAnsi="Arial" w:cs="Arial"/>
        </w:rPr>
        <w:tab/>
      </w:r>
      <w:r w:rsidR="00F02C27" w:rsidRPr="00B65119">
        <w:rPr>
          <w:rFonts w:ascii="Arial" w:hAnsi="Arial" w:cs="Arial"/>
        </w:rPr>
        <w:tab/>
      </w:r>
      <w:r w:rsidR="00F02C27" w:rsidRPr="00B65119">
        <w:rPr>
          <w:rFonts w:ascii="Arial" w:hAnsi="Arial" w:cs="Arial"/>
        </w:rPr>
        <w:tab/>
      </w:r>
      <w:r w:rsidR="00F02C27" w:rsidRPr="00B65119">
        <w:rPr>
          <w:rFonts w:ascii="Arial" w:hAnsi="Arial" w:cs="Arial"/>
        </w:rPr>
        <w:tab/>
      </w:r>
      <w:r w:rsidR="00F02C27" w:rsidRPr="00B65119">
        <w:rPr>
          <w:rFonts w:ascii="Arial" w:hAnsi="Arial" w:cs="Arial"/>
        </w:rPr>
        <w:tab/>
      </w:r>
      <w:r w:rsidR="00DE162E">
        <w:rPr>
          <w:rFonts w:ascii="Arial" w:hAnsi="Arial" w:cs="Arial"/>
        </w:rPr>
        <w:tab/>
      </w:r>
      <w:r w:rsidR="00F02C27" w:rsidRPr="00B65119">
        <w:rPr>
          <w:rFonts w:ascii="Arial" w:hAnsi="Arial" w:cs="Arial"/>
        </w:rPr>
        <w:t xml:space="preserve">Respectfully submitted, </w:t>
      </w:r>
    </w:p>
    <w:p w:rsidR="001F2AD5" w:rsidRDefault="001F2AD5" w:rsidP="009D1B57">
      <w:pPr>
        <w:ind w:firstLine="720"/>
        <w:jc w:val="both"/>
        <w:rPr>
          <w:rFonts w:ascii="Arial" w:hAnsi="Arial" w:cs="Arial"/>
        </w:rPr>
      </w:pPr>
    </w:p>
    <w:p w:rsidR="00DE162E" w:rsidRPr="00DE162E" w:rsidRDefault="001F2AD5" w:rsidP="001519C3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162E" w:rsidRPr="00DE162E">
        <w:rPr>
          <w:rFonts w:ascii="Arial" w:hAnsi="Arial" w:cs="Arial"/>
          <w:u w:val="single"/>
        </w:rPr>
        <w:t>/s/ James M. Fischer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James M. Fischer, MBN 27543</w:t>
      </w:r>
    </w:p>
    <w:p w:rsidR="001519C3" w:rsidRPr="001519C3" w:rsidRDefault="001519C3" w:rsidP="001519C3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proofErr w:type="gramStart"/>
      <w:r w:rsidRPr="001519C3">
        <w:rPr>
          <w:rFonts w:ascii="Arial" w:hAnsi="Arial" w:cs="Arial"/>
        </w:rPr>
        <w:t xml:space="preserve">Fischer &amp; </w:t>
      </w:r>
      <w:proofErr w:type="spellStart"/>
      <w:r w:rsidRPr="001519C3">
        <w:rPr>
          <w:rFonts w:ascii="Arial" w:hAnsi="Arial" w:cs="Arial"/>
        </w:rPr>
        <w:t>Dority</w:t>
      </w:r>
      <w:proofErr w:type="spellEnd"/>
      <w:r w:rsidRPr="001519C3">
        <w:rPr>
          <w:rFonts w:ascii="Arial" w:hAnsi="Arial" w:cs="Arial"/>
        </w:rPr>
        <w:t>, P.C.</w:t>
      </w:r>
      <w:proofErr w:type="gramEnd"/>
    </w:p>
    <w:p w:rsidR="001519C3" w:rsidRPr="001519C3" w:rsidRDefault="001519C3" w:rsidP="001519C3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101 Madison Street, Suite 400</w:t>
      </w:r>
    </w:p>
    <w:p w:rsidR="001519C3" w:rsidRPr="001519C3" w:rsidRDefault="001519C3" w:rsidP="001519C3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Jefferson City, MO  65101</w:t>
      </w:r>
    </w:p>
    <w:p w:rsidR="001519C3" w:rsidRPr="001519C3" w:rsidRDefault="001519C3" w:rsidP="001519C3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(573) 636-6758 (Phone)</w:t>
      </w:r>
    </w:p>
    <w:p w:rsidR="001519C3" w:rsidRPr="001519C3" w:rsidRDefault="001519C3" w:rsidP="001519C3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(573) 636-0383 (fax)</w:t>
      </w:r>
    </w:p>
    <w:p w:rsidR="001519C3" w:rsidRPr="001519C3" w:rsidRDefault="001519C3" w:rsidP="001519C3">
      <w:pPr>
        <w:autoSpaceDE w:val="0"/>
        <w:autoSpaceDN w:val="0"/>
        <w:adjustRightInd w:val="0"/>
        <w:ind w:left="4320"/>
        <w:rPr>
          <w:rFonts w:ascii="Arial" w:hAnsi="Arial" w:cs="Arial"/>
        </w:rPr>
      </w:pPr>
      <w:r w:rsidRPr="001519C3">
        <w:rPr>
          <w:rFonts w:ascii="Arial" w:hAnsi="Arial" w:cs="Arial"/>
        </w:rPr>
        <w:t>jfischerpc@aol.com</w:t>
      </w:r>
    </w:p>
    <w:p w:rsidR="001519C3" w:rsidRPr="001519C3" w:rsidRDefault="001519C3" w:rsidP="001519C3">
      <w:pPr>
        <w:autoSpaceDE w:val="0"/>
        <w:autoSpaceDN w:val="0"/>
        <w:adjustRightInd w:val="0"/>
        <w:rPr>
          <w:rFonts w:ascii="Arial" w:hAnsi="Arial" w:cs="Arial"/>
        </w:rPr>
      </w:pPr>
    </w:p>
    <w:p w:rsidR="001519C3" w:rsidRDefault="00DE162E" w:rsidP="001519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</w:p>
    <w:p w:rsidR="00DE162E" w:rsidRPr="001519C3" w:rsidRDefault="00DE162E" w:rsidP="001519C3">
      <w:pPr>
        <w:autoSpaceDE w:val="0"/>
        <w:autoSpaceDN w:val="0"/>
        <w:adjustRightInd w:val="0"/>
        <w:rPr>
          <w:rFonts w:ascii="Arial" w:hAnsi="Arial" w:cs="Arial"/>
        </w:rPr>
      </w:pP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Roger W. Steiner</w:t>
      </w:r>
      <w:r w:rsidRPr="001519C3">
        <w:rPr>
          <w:rFonts w:ascii="Arial" w:hAnsi="Arial" w:cs="Arial"/>
        </w:rPr>
        <w:tab/>
        <w:t>MBN 39586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Corporate Counsel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Kansas City Power &amp; Light Co.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1200 Main Street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Kansas City, MO 64105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(816) 556-2314 (Phone)</w:t>
      </w:r>
    </w:p>
    <w:p w:rsidR="001519C3" w:rsidRPr="001519C3" w:rsidRDefault="001519C3" w:rsidP="00DE162E">
      <w:pPr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1519C3">
        <w:rPr>
          <w:rFonts w:ascii="Arial" w:hAnsi="Arial" w:cs="Arial"/>
        </w:rPr>
        <w:t>Roger.Steiner@KCP&amp;L.com</w:t>
      </w:r>
    </w:p>
    <w:p w:rsidR="001519C3" w:rsidRPr="001519C3" w:rsidRDefault="001519C3" w:rsidP="001519C3">
      <w:pPr>
        <w:autoSpaceDE w:val="0"/>
        <w:autoSpaceDN w:val="0"/>
        <w:adjustRightInd w:val="0"/>
        <w:rPr>
          <w:rFonts w:ascii="Arial" w:hAnsi="Arial" w:cs="Arial"/>
        </w:rPr>
      </w:pPr>
    </w:p>
    <w:p w:rsidR="001519C3" w:rsidRDefault="001519C3" w:rsidP="00DE162E">
      <w:pPr>
        <w:autoSpaceDE w:val="0"/>
        <w:autoSpaceDN w:val="0"/>
        <w:adjustRightInd w:val="0"/>
        <w:ind w:left="4320"/>
        <w:rPr>
          <w:rFonts w:ascii="Arial" w:hAnsi="Arial" w:cs="Arial"/>
        </w:rPr>
      </w:pPr>
      <w:proofErr w:type="gramStart"/>
      <w:r w:rsidRPr="001519C3">
        <w:rPr>
          <w:rFonts w:ascii="Arial" w:hAnsi="Arial" w:cs="Arial"/>
        </w:rPr>
        <w:t>Attorneys for Kansas City Power &amp; Light Co. and KCP&amp;L Greater Missouri Operations Co.</w:t>
      </w:r>
      <w:proofErr w:type="gramEnd"/>
    </w:p>
    <w:p w:rsidR="00DE162E" w:rsidRDefault="00DE162E" w:rsidP="00DE162E">
      <w:pPr>
        <w:autoSpaceDE w:val="0"/>
        <w:autoSpaceDN w:val="0"/>
        <w:adjustRightInd w:val="0"/>
        <w:ind w:left="4320"/>
        <w:rPr>
          <w:rFonts w:ascii="Arial" w:hAnsi="Arial" w:cs="Arial"/>
        </w:rPr>
      </w:pPr>
    </w:p>
    <w:p w:rsidR="00DE162E" w:rsidRDefault="00DE162E" w:rsidP="00DE162E">
      <w:pPr>
        <w:autoSpaceDE w:val="0"/>
        <w:autoSpaceDN w:val="0"/>
        <w:adjustRightInd w:val="0"/>
        <w:ind w:left="4320"/>
        <w:rPr>
          <w:rFonts w:ascii="Arial" w:hAnsi="Arial" w:cs="Arial"/>
        </w:rPr>
      </w:pPr>
    </w:p>
    <w:p w:rsidR="00DE162E" w:rsidRPr="00DE162E" w:rsidRDefault="00DE162E" w:rsidP="00DE162E">
      <w:pPr>
        <w:ind w:left="2160" w:firstLine="720"/>
        <w:rPr>
          <w:rFonts w:ascii="Arial" w:hAnsi="Arial" w:cs="Arial"/>
          <w:b/>
        </w:rPr>
      </w:pPr>
      <w:bookmarkStart w:id="0" w:name="_GoBack"/>
      <w:bookmarkEnd w:id="0"/>
      <w:r w:rsidRPr="00DE162E">
        <w:rPr>
          <w:rFonts w:ascii="Arial" w:hAnsi="Arial" w:cs="Arial"/>
          <w:b/>
        </w:rPr>
        <w:t>CERTIFICATE OF SERVICE</w:t>
      </w:r>
    </w:p>
    <w:p w:rsidR="00DE162E" w:rsidRPr="00DE162E" w:rsidRDefault="00DE162E" w:rsidP="00DE162E">
      <w:pPr>
        <w:ind w:left="2160" w:firstLine="720"/>
        <w:rPr>
          <w:rFonts w:ascii="Arial" w:hAnsi="Arial" w:cs="Arial"/>
        </w:rPr>
      </w:pPr>
    </w:p>
    <w:p w:rsidR="00DE162E" w:rsidRPr="00DE162E" w:rsidRDefault="00DE162E" w:rsidP="00DE162E">
      <w:pPr>
        <w:ind w:firstLine="720"/>
        <w:rPr>
          <w:rFonts w:ascii="Arial" w:hAnsi="Arial" w:cs="Arial"/>
        </w:rPr>
      </w:pPr>
      <w:r w:rsidRPr="00DE162E">
        <w:rPr>
          <w:rFonts w:ascii="Arial" w:hAnsi="Arial" w:cs="Arial"/>
        </w:rPr>
        <w:t xml:space="preserve">I do hereby certify that a true and correct copy of the foregoing document has been hand delivered, emailed or mailed, postage prepaid, </w:t>
      </w:r>
      <w:proofErr w:type="gramStart"/>
      <w:r w:rsidRPr="00DE162E">
        <w:rPr>
          <w:rFonts w:ascii="Arial" w:hAnsi="Arial" w:cs="Arial"/>
        </w:rPr>
        <w:t>this</w:t>
      </w:r>
      <w:proofErr w:type="gramEnd"/>
      <w:r w:rsidRPr="00DE1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6th</w:t>
      </w:r>
      <w:r w:rsidRPr="00DE162E">
        <w:rPr>
          <w:rFonts w:ascii="Arial" w:hAnsi="Arial" w:cs="Arial"/>
        </w:rPr>
        <w:t xml:space="preserve"> day of November, 2012, to all counsel of record.</w:t>
      </w:r>
    </w:p>
    <w:p w:rsidR="00F02C27" w:rsidRDefault="00DE162E" w:rsidP="00DE162E">
      <w:pPr>
        <w:ind w:left="4320" w:firstLine="720"/>
        <w:rPr>
          <w:rFonts w:ascii="Arial" w:hAnsi="Arial" w:cs="Arial"/>
          <w:u w:val="single"/>
        </w:rPr>
      </w:pPr>
      <w:r w:rsidRPr="00DE162E">
        <w:rPr>
          <w:rFonts w:ascii="Arial" w:hAnsi="Arial" w:cs="Arial"/>
          <w:u w:val="single"/>
        </w:rPr>
        <w:t>/s/ James M. Fischer</w:t>
      </w:r>
      <w:r w:rsidRPr="00DE162E">
        <w:rPr>
          <w:rFonts w:ascii="Arial" w:hAnsi="Arial" w:cs="Arial"/>
          <w:u w:val="single"/>
        </w:rPr>
        <w:tab/>
      </w:r>
      <w:r w:rsidRPr="00DE162E">
        <w:rPr>
          <w:rFonts w:ascii="Arial" w:hAnsi="Arial" w:cs="Arial"/>
          <w:u w:val="single"/>
        </w:rPr>
        <w:tab/>
      </w:r>
      <w:r w:rsidRPr="00DE162E">
        <w:rPr>
          <w:rFonts w:ascii="Arial" w:hAnsi="Arial" w:cs="Arial"/>
          <w:u w:val="single"/>
        </w:rPr>
        <w:tab/>
      </w:r>
    </w:p>
    <w:p w:rsidR="00DE162E" w:rsidRPr="00DE162E" w:rsidRDefault="00DE162E" w:rsidP="00DE162E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James M. Fischer </w:t>
      </w:r>
    </w:p>
    <w:sectPr w:rsidR="00DE162E" w:rsidRPr="00DE162E" w:rsidSect="00F02C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2E" w:rsidRDefault="00DE162E">
      <w:r>
        <w:separator/>
      </w:r>
    </w:p>
  </w:endnote>
  <w:endnote w:type="continuationSeparator" w:id="0">
    <w:p w:rsidR="00DE162E" w:rsidRDefault="00DE162E">
      <w:r>
        <w:continuationSeparator/>
      </w:r>
    </w:p>
  </w:endnote>
  <w:endnote w:type="continuationNotice" w:id="1">
    <w:p w:rsidR="00DE162E" w:rsidRDefault="00DE1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2E" w:rsidRDefault="00DE162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8F9">
      <w:rPr>
        <w:rStyle w:val="PageNumber"/>
        <w:noProof/>
      </w:rPr>
      <w:t>1</w:t>
    </w:r>
    <w:r>
      <w:rPr>
        <w:rStyle w:val="PageNumber"/>
      </w:rPr>
      <w:fldChar w:fldCharType="end"/>
    </w:r>
  </w:p>
  <w:p w:rsidR="00DE162E" w:rsidRDefault="00DE1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2E" w:rsidRDefault="00DE162E">
      <w:r>
        <w:separator/>
      </w:r>
    </w:p>
  </w:footnote>
  <w:footnote w:type="continuationSeparator" w:id="0">
    <w:p w:rsidR="00DE162E" w:rsidRDefault="00DE162E">
      <w:r>
        <w:continuationSeparator/>
      </w:r>
    </w:p>
  </w:footnote>
  <w:footnote w:type="continuationNotice" w:id="1">
    <w:p w:rsidR="00DE162E" w:rsidRDefault="00DE162E"/>
  </w:footnote>
  <w:footnote w:id="2">
    <w:p w:rsidR="00DE162E" w:rsidRDefault="00DE16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162E">
        <w:rPr>
          <w:rFonts w:ascii="Arial" w:hAnsi="Arial" w:cs="Arial"/>
        </w:rPr>
        <w:t>These parties have previously filed testimony regarding revenue requirement issues, and are expected to be involved in filing of the True-Up Direct Testimony.</w:t>
      </w:r>
      <w: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DF2"/>
    <w:multiLevelType w:val="hybridMultilevel"/>
    <w:tmpl w:val="B9DE237A"/>
    <w:lvl w:ilvl="0" w:tplc="2C4A5A82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">
    <w:nsid w:val="014327CF"/>
    <w:multiLevelType w:val="hybridMultilevel"/>
    <w:tmpl w:val="F5CC2232"/>
    <w:lvl w:ilvl="0" w:tplc="F530E120">
      <w:start w:val="3"/>
      <w:numFmt w:val="decimal"/>
      <w:lvlText w:val="%1."/>
      <w:lvlJc w:val="left"/>
      <w:pPr>
        <w:tabs>
          <w:tab w:val="num" w:pos="1571"/>
        </w:tabs>
        <w:ind w:left="851"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5CA57C3"/>
    <w:multiLevelType w:val="hybridMultilevel"/>
    <w:tmpl w:val="588C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2E67"/>
    <w:multiLevelType w:val="hybridMultilevel"/>
    <w:tmpl w:val="E172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7E1"/>
    <w:multiLevelType w:val="hybridMultilevel"/>
    <w:tmpl w:val="352898E8"/>
    <w:lvl w:ilvl="0" w:tplc="B8B203BC">
      <w:start w:val="1"/>
      <w:numFmt w:val="decimal"/>
      <w:lvlText w:val="%1."/>
      <w:lvlJc w:val="left"/>
      <w:pPr>
        <w:tabs>
          <w:tab w:val="num" w:pos="1440"/>
        </w:tabs>
        <w:ind w:left="720"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198526A2"/>
    <w:multiLevelType w:val="hybridMultilevel"/>
    <w:tmpl w:val="9BC42248"/>
    <w:lvl w:ilvl="0" w:tplc="F530E120">
      <w:start w:val="3"/>
      <w:numFmt w:val="decimal"/>
      <w:lvlText w:val="%1."/>
      <w:lvlJc w:val="left"/>
      <w:pPr>
        <w:tabs>
          <w:tab w:val="num" w:pos="2291"/>
        </w:tabs>
        <w:ind w:left="1571"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6">
    <w:nsid w:val="19DC4173"/>
    <w:multiLevelType w:val="hybridMultilevel"/>
    <w:tmpl w:val="55867574"/>
    <w:lvl w:ilvl="0" w:tplc="2E8C2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">
    <w:nsid w:val="1A5B448D"/>
    <w:multiLevelType w:val="multilevel"/>
    <w:tmpl w:val="A9B29000"/>
    <w:lvl w:ilvl="0">
      <w:start w:val="1"/>
      <w:numFmt w:val="lowerLetter"/>
      <w:lvlText w:val="%1."/>
      <w:lvlJc w:val="left"/>
      <w:pPr>
        <w:tabs>
          <w:tab w:val="num" w:pos="-1080"/>
        </w:tabs>
        <w:ind w:left="-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</w:abstractNum>
  <w:abstractNum w:abstractNumId="8">
    <w:nsid w:val="223216BA"/>
    <w:multiLevelType w:val="multilevel"/>
    <w:tmpl w:val="FAC640A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>
    <w:nsid w:val="27CE4CDC"/>
    <w:multiLevelType w:val="multilevel"/>
    <w:tmpl w:val="352898E8"/>
    <w:lvl w:ilvl="0">
      <w:start w:val="1"/>
      <w:numFmt w:val="decimal"/>
      <w:lvlText w:val="%1."/>
      <w:lvlJc w:val="left"/>
      <w:pPr>
        <w:tabs>
          <w:tab w:val="num" w:pos="1440"/>
        </w:tabs>
        <w:ind w:left="720" w:firstLine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0">
    <w:nsid w:val="2C433B8F"/>
    <w:multiLevelType w:val="hybridMultilevel"/>
    <w:tmpl w:val="25D84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9207A"/>
    <w:multiLevelType w:val="multilevel"/>
    <w:tmpl w:val="841EDF06"/>
    <w:lvl w:ilvl="0">
      <w:start w:val="1"/>
      <w:numFmt w:val="decimal"/>
      <w:lvlText w:val="%1."/>
      <w:lvlJc w:val="left"/>
      <w:pPr>
        <w:tabs>
          <w:tab w:val="num" w:pos="1440"/>
        </w:tabs>
        <w:ind w:left="720" w:firstLine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2">
    <w:nsid w:val="36C31347"/>
    <w:multiLevelType w:val="hybridMultilevel"/>
    <w:tmpl w:val="29200AEA"/>
    <w:lvl w:ilvl="0" w:tplc="04090011">
      <w:start w:val="1"/>
      <w:numFmt w:val="decimal"/>
      <w:lvlText w:val="%1)"/>
      <w:lvlJc w:val="left"/>
      <w:pPr>
        <w:tabs>
          <w:tab w:val="num" w:pos="-1080"/>
        </w:tabs>
        <w:ind w:left="-108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</w:abstractNum>
  <w:abstractNum w:abstractNumId="13">
    <w:nsid w:val="3A2C5988"/>
    <w:multiLevelType w:val="hybridMultilevel"/>
    <w:tmpl w:val="07362706"/>
    <w:lvl w:ilvl="0" w:tplc="7870BD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>
    <w:nsid w:val="3C287BAE"/>
    <w:multiLevelType w:val="hybridMultilevel"/>
    <w:tmpl w:val="98B4A914"/>
    <w:lvl w:ilvl="0" w:tplc="FF620432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A86A7D4E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3E6C01A8"/>
    <w:multiLevelType w:val="hybridMultilevel"/>
    <w:tmpl w:val="31B2F54E"/>
    <w:lvl w:ilvl="0" w:tplc="8D6CEA4E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6">
    <w:nsid w:val="42487CB3"/>
    <w:multiLevelType w:val="hybridMultilevel"/>
    <w:tmpl w:val="4F886A8C"/>
    <w:lvl w:ilvl="0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4831421D"/>
    <w:multiLevelType w:val="hybridMultilevel"/>
    <w:tmpl w:val="B458076E"/>
    <w:lvl w:ilvl="0" w:tplc="F90C0A5C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4FB5166F"/>
    <w:multiLevelType w:val="hybridMultilevel"/>
    <w:tmpl w:val="61A8D00E"/>
    <w:lvl w:ilvl="0" w:tplc="1340D5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1D47DA5"/>
    <w:multiLevelType w:val="hybridMultilevel"/>
    <w:tmpl w:val="86B8B3B0"/>
    <w:lvl w:ilvl="0" w:tplc="F530E120">
      <w:start w:val="2"/>
      <w:numFmt w:val="decimal"/>
      <w:lvlText w:val="%1."/>
      <w:lvlJc w:val="left"/>
      <w:pPr>
        <w:tabs>
          <w:tab w:val="num" w:pos="2291"/>
        </w:tabs>
        <w:ind w:left="1571"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0">
    <w:nsid w:val="54254F3E"/>
    <w:multiLevelType w:val="hybridMultilevel"/>
    <w:tmpl w:val="416A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49B7F5E"/>
    <w:multiLevelType w:val="hybridMultilevel"/>
    <w:tmpl w:val="4E5A3CFA"/>
    <w:lvl w:ilvl="0" w:tplc="BF2EE7D6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Arial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A86A7D4E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DE27DDC"/>
    <w:multiLevelType w:val="hybridMultilevel"/>
    <w:tmpl w:val="07AE0BD8"/>
    <w:lvl w:ilvl="0" w:tplc="BF2EE7D6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Arial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A86A7D4E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6A993073"/>
    <w:multiLevelType w:val="hybridMultilevel"/>
    <w:tmpl w:val="1C543B5E"/>
    <w:lvl w:ilvl="0" w:tplc="1D4C749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6B1B3B33"/>
    <w:multiLevelType w:val="hybridMultilevel"/>
    <w:tmpl w:val="5C6284AC"/>
    <w:lvl w:ilvl="0" w:tplc="8FB23EB6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>
    <w:nsid w:val="6C4738F7"/>
    <w:multiLevelType w:val="hybridMultilevel"/>
    <w:tmpl w:val="2314F828"/>
    <w:lvl w:ilvl="0" w:tplc="4EEC49C4">
      <w:start w:val="4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74A8328C"/>
    <w:multiLevelType w:val="multilevel"/>
    <w:tmpl w:val="94ECAEC8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5"/>
  </w:num>
  <w:num w:numId="5">
    <w:abstractNumId w:val="23"/>
  </w:num>
  <w:num w:numId="6">
    <w:abstractNumId w:val="8"/>
  </w:num>
  <w:num w:numId="7">
    <w:abstractNumId w:val="15"/>
  </w:num>
  <w:num w:numId="8">
    <w:abstractNumId w:val="11"/>
  </w:num>
  <w:num w:numId="9">
    <w:abstractNumId w:val="21"/>
  </w:num>
  <w:num w:numId="10">
    <w:abstractNumId w:val="17"/>
  </w:num>
  <w:num w:numId="11">
    <w:abstractNumId w:val="4"/>
  </w:num>
  <w:num w:numId="12">
    <w:abstractNumId w:val="9"/>
  </w:num>
  <w:num w:numId="13">
    <w:abstractNumId w:val="25"/>
  </w:num>
  <w:num w:numId="14">
    <w:abstractNumId w:val="24"/>
  </w:num>
  <w:num w:numId="15">
    <w:abstractNumId w:val="18"/>
  </w:num>
  <w:num w:numId="16">
    <w:abstractNumId w:val="12"/>
  </w:num>
  <w:num w:numId="17">
    <w:abstractNumId w:val="26"/>
  </w:num>
  <w:num w:numId="18">
    <w:abstractNumId w:val="13"/>
  </w:num>
  <w:num w:numId="19">
    <w:abstractNumId w:val="0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7"/>
    <w:rsid w:val="0000249E"/>
    <w:rsid w:val="000149FB"/>
    <w:rsid w:val="0004720E"/>
    <w:rsid w:val="0007551E"/>
    <w:rsid w:val="0007590A"/>
    <w:rsid w:val="00086A46"/>
    <w:rsid w:val="000E3198"/>
    <w:rsid w:val="000F31F5"/>
    <w:rsid w:val="001046ED"/>
    <w:rsid w:val="00113658"/>
    <w:rsid w:val="001519C3"/>
    <w:rsid w:val="00161673"/>
    <w:rsid w:val="00195821"/>
    <w:rsid w:val="001A6579"/>
    <w:rsid w:val="001B3ECE"/>
    <w:rsid w:val="001D5027"/>
    <w:rsid w:val="001F2AD5"/>
    <w:rsid w:val="00223B2C"/>
    <w:rsid w:val="002378F9"/>
    <w:rsid w:val="00275EA6"/>
    <w:rsid w:val="00280026"/>
    <w:rsid w:val="00291C35"/>
    <w:rsid w:val="002A22FB"/>
    <w:rsid w:val="002B41C0"/>
    <w:rsid w:val="002D31B4"/>
    <w:rsid w:val="00304C81"/>
    <w:rsid w:val="00322A29"/>
    <w:rsid w:val="00344E2B"/>
    <w:rsid w:val="00353F57"/>
    <w:rsid w:val="00386F68"/>
    <w:rsid w:val="0042790C"/>
    <w:rsid w:val="0044033D"/>
    <w:rsid w:val="004571DB"/>
    <w:rsid w:val="00491E66"/>
    <w:rsid w:val="004A5E10"/>
    <w:rsid w:val="004A7443"/>
    <w:rsid w:val="004E658A"/>
    <w:rsid w:val="004F32EA"/>
    <w:rsid w:val="00512C7E"/>
    <w:rsid w:val="00522096"/>
    <w:rsid w:val="00557529"/>
    <w:rsid w:val="00594B38"/>
    <w:rsid w:val="005C32C4"/>
    <w:rsid w:val="005D0B9C"/>
    <w:rsid w:val="005D4B8D"/>
    <w:rsid w:val="00636C6E"/>
    <w:rsid w:val="00674462"/>
    <w:rsid w:val="00677C96"/>
    <w:rsid w:val="00690F2B"/>
    <w:rsid w:val="006918C4"/>
    <w:rsid w:val="006A6197"/>
    <w:rsid w:val="006E1B83"/>
    <w:rsid w:val="0070740F"/>
    <w:rsid w:val="007077A7"/>
    <w:rsid w:val="00764292"/>
    <w:rsid w:val="0078729B"/>
    <w:rsid w:val="007A01C6"/>
    <w:rsid w:val="007C22BE"/>
    <w:rsid w:val="007C22C9"/>
    <w:rsid w:val="008150A9"/>
    <w:rsid w:val="00835E94"/>
    <w:rsid w:val="008473DC"/>
    <w:rsid w:val="00850603"/>
    <w:rsid w:val="00864A96"/>
    <w:rsid w:val="0086788D"/>
    <w:rsid w:val="008B5BB0"/>
    <w:rsid w:val="008F5050"/>
    <w:rsid w:val="009121A9"/>
    <w:rsid w:val="00921B1A"/>
    <w:rsid w:val="00946636"/>
    <w:rsid w:val="00965F7F"/>
    <w:rsid w:val="00990B6C"/>
    <w:rsid w:val="009A0E0F"/>
    <w:rsid w:val="009D1B57"/>
    <w:rsid w:val="00A110F9"/>
    <w:rsid w:val="00A24510"/>
    <w:rsid w:val="00A645DB"/>
    <w:rsid w:val="00A8289B"/>
    <w:rsid w:val="00A93F42"/>
    <w:rsid w:val="00A96797"/>
    <w:rsid w:val="00AB4F5B"/>
    <w:rsid w:val="00AE6328"/>
    <w:rsid w:val="00AF782A"/>
    <w:rsid w:val="00B65119"/>
    <w:rsid w:val="00B76F13"/>
    <w:rsid w:val="00B97D62"/>
    <w:rsid w:val="00C030FA"/>
    <w:rsid w:val="00CF1406"/>
    <w:rsid w:val="00CF23C9"/>
    <w:rsid w:val="00D24EE8"/>
    <w:rsid w:val="00D624E0"/>
    <w:rsid w:val="00DB4FD6"/>
    <w:rsid w:val="00DC3BC7"/>
    <w:rsid w:val="00DC4AC3"/>
    <w:rsid w:val="00DE162E"/>
    <w:rsid w:val="00DE4C75"/>
    <w:rsid w:val="00DF56BE"/>
    <w:rsid w:val="00DF6B28"/>
    <w:rsid w:val="00E25413"/>
    <w:rsid w:val="00E35EC3"/>
    <w:rsid w:val="00E43345"/>
    <w:rsid w:val="00E83623"/>
    <w:rsid w:val="00E9717B"/>
    <w:rsid w:val="00EA521E"/>
    <w:rsid w:val="00ED5C99"/>
    <w:rsid w:val="00EF60EB"/>
    <w:rsid w:val="00F02C27"/>
    <w:rsid w:val="00F20E2C"/>
    <w:rsid w:val="00F53651"/>
    <w:rsid w:val="00F80ABF"/>
    <w:rsid w:val="00F861CB"/>
    <w:rsid w:val="00FB7E1C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0" w:unhideWhenUsed="0" w:qFormat="1"/>
    <w:lsdException w:name="Default Paragraph Font" w:uiPriority="1" w:unhideWhenUsed="0"/>
    <w:lsdException w:name="Body Text" w:unhideWhenUsed="0"/>
    <w:lsdException w:name="Subtitle" w:semiHidden="0" w:uiPriority="0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58A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0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C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E65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02C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E658A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F02C27"/>
    <w:rPr>
      <w:rFonts w:ascii="Cambria" w:eastAsia="Times New Roman" w:hAnsi="Cambria" w:cs="Times New Roman"/>
      <w:sz w:val="24"/>
      <w:szCs w:val="24"/>
    </w:rPr>
  </w:style>
  <w:style w:type="paragraph" w:customStyle="1" w:styleId="SignatureBlock">
    <w:name w:val="Signature Block"/>
    <w:basedOn w:val="Normal"/>
    <w:uiPriority w:val="99"/>
    <w:rsid w:val="004E658A"/>
    <w:pPr>
      <w:spacing w:line="254" w:lineRule="exact"/>
      <w:ind w:left="468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E658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E658A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4E658A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C27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E658A"/>
    <w:pPr>
      <w:ind w:left="4320"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2C27"/>
    <w:rPr>
      <w:rFonts w:ascii="Times New Roman" w:hAnsi="Times New Roman"/>
      <w:sz w:val="16"/>
      <w:szCs w:val="16"/>
    </w:rPr>
  </w:style>
  <w:style w:type="paragraph" w:customStyle="1" w:styleId="a">
    <w:name w:val="_"/>
    <w:basedOn w:val="Normal"/>
    <w:uiPriority w:val="99"/>
    <w:rsid w:val="004E658A"/>
    <w:pPr>
      <w:widowControl w:val="0"/>
      <w:snapToGrid w:val="0"/>
      <w:ind w:left="720" w:hanging="720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4E6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C27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E658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E6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27"/>
    <w:rPr>
      <w:rFonts w:ascii="Times New Roman" w:hAnsi="Times New Roman" w:cs="Times New Roman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rsid w:val="004E6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C2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E658A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E658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C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E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C27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4E6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5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03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06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0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0" w:unhideWhenUsed="0" w:qFormat="1"/>
    <w:lsdException w:name="Default Paragraph Font" w:uiPriority="1" w:unhideWhenUsed="0"/>
    <w:lsdException w:name="Body Text" w:unhideWhenUsed="0"/>
    <w:lsdException w:name="Subtitle" w:semiHidden="0" w:uiPriority="0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58A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0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C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E65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02C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E658A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F02C27"/>
    <w:rPr>
      <w:rFonts w:ascii="Cambria" w:eastAsia="Times New Roman" w:hAnsi="Cambria" w:cs="Times New Roman"/>
      <w:sz w:val="24"/>
      <w:szCs w:val="24"/>
    </w:rPr>
  </w:style>
  <w:style w:type="paragraph" w:customStyle="1" w:styleId="SignatureBlock">
    <w:name w:val="Signature Block"/>
    <w:basedOn w:val="Normal"/>
    <w:uiPriority w:val="99"/>
    <w:rsid w:val="004E658A"/>
    <w:pPr>
      <w:spacing w:line="254" w:lineRule="exact"/>
      <w:ind w:left="468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E658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E658A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4E658A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C27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E658A"/>
    <w:pPr>
      <w:ind w:left="4320"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2C27"/>
    <w:rPr>
      <w:rFonts w:ascii="Times New Roman" w:hAnsi="Times New Roman"/>
      <w:sz w:val="16"/>
      <w:szCs w:val="16"/>
    </w:rPr>
  </w:style>
  <w:style w:type="paragraph" w:customStyle="1" w:styleId="a">
    <w:name w:val="_"/>
    <w:basedOn w:val="Normal"/>
    <w:uiPriority w:val="99"/>
    <w:rsid w:val="004E658A"/>
    <w:pPr>
      <w:widowControl w:val="0"/>
      <w:snapToGrid w:val="0"/>
      <w:ind w:left="720" w:hanging="720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4E6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C27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E658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E6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27"/>
    <w:rPr>
      <w:rFonts w:ascii="Times New Roman" w:hAnsi="Times New Roman" w:cs="Times New Roman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rsid w:val="004E6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C2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E658A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E658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C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E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C27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4E6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5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03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06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0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9F1C-A372-4AB7-8DCC-FB0DF9C7C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BBFD3-43D9-4F77-8345-01A26BBE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PSC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schwat</dc:creator>
  <cp:lastModifiedBy>Jim</cp:lastModifiedBy>
  <cp:revision>2</cp:revision>
  <cp:lastPrinted>2012-04-13T21:26:00Z</cp:lastPrinted>
  <dcterms:created xsi:type="dcterms:W3CDTF">2012-11-06T16:55:00Z</dcterms:created>
  <dcterms:modified xsi:type="dcterms:W3CDTF">2012-11-06T16:55:00Z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1407151438</vt:i4>
  </property>
</Properties>
</file>