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9FA02C" w14:textId="733FF282" w:rsidR="00603E3B" w:rsidRPr="008D42E6" w:rsidRDefault="008D47A0" w:rsidP="008D42E6">
      <w:pPr>
        <w:jc w:val="center"/>
        <w:rPr>
          <w:b/>
          <w:bCs/>
        </w:rPr>
      </w:pPr>
      <w:r w:rsidRPr="008D42E6">
        <w:rPr>
          <w:b/>
          <w:bCs/>
        </w:rPr>
        <w:t xml:space="preserve">TITLE </w:t>
      </w:r>
      <w:r w:rsidR="008D42E6" w:rsidRPr="008D42E6">
        <w:rPr>
          <w:b/>
          <w:bCs/>
        </w:rPr>
        <w:t>20—DEPARTMENT OF COMMERCE AND INSURANCE</w:t>
      </w:r>
    </w:p>
    <w:p w14:paraId="222372AF" w14:textId="72DCFE94" w:rsidR="008D42E6" w:rsidRPr="008D42E6" w:rsidRDefault="008D42E6" w:rsidP="008D42E6">
      <w:pPr>
        <w:jc w:val="center"/>
        <w:rPr>
          <w:b/>
          <w:bCs/>
        </w:rPr>
      </w:pPr>
      <w:r w:rsidRPr="008D42E6">
        <w:rPr>
          <w:b/>
          <w:bCs/>
        </w:rPr>
        <w:t>Division 4240—Public Service Commission</w:t>
      </w:r>
    </w:p>
    <w:p w14:paraId="231F673B" w14:textId="50F0DC97" w:rsidR="008D42E6" w:rsidRPr="008D42E6" w:rsidRDefault="008D42E6" w:rsidP="008D42E6">
      <w:pPr>
        <w:jc w:val="center"/>
        <w:rPr>
          <w:b/>
          <w:bCs/>
        </w:rPr>
      </w:pPr>
      <w:r w:rsidRPr="008D42E6">
        <w:rPr>
          <w:b/>
          <w:bCs/>
        </w:rPr>
        <w:t>Chapter 10—Utilities</w:t>
      </w:r>
    </w:p>
    <w:p w14:paraId="07AC4288" w14:textId="434B74A2" w:rsidR="008D42E6" w:rsidRPr="008D42E6" w:rsidRDefault="008D42E6" w:rsidP="008D42E6">
      <w:pPr>
        <w:jc w:val="center"/>
        <w:rPr>
          <w:b/>
          <w:bCs/>
        </w:rPr>
      </w:pPr>
    </w:p>
    <w:p w14:paraId="40C63448" w14:textId="1B7A5462" w:rsidR="008D42E6" w:rsidRPr="008D42E6" w:rsidRDefault="008D42E6" w:rsidP="008D42E6">
      <w:pPr>
        <w:jc w:val="center"/>
        <w:rPr>
          <w:b/>
          <w:bCs/>
        </w:rPr>
      </w:pPr>
      <w:r w:rsidRPr="008D42E6">
        <w:rPr>
          <w:b/>
          <w:bCs/>
        </w:rPr>
        <w:t>PROPOSED RULE</w:t>
      </w:r>
    </w:p>
    <w:p w14:paraId="3F03F949" w14:textId="167F3C84" w:rsidR="008D42E6" w:rsidRDefault="008D42E6"/>
    <w:p w14:paraId="2A414302" w14:textId="416C9CBC" w:rsidR="008D42E6" w:rsidRDefault="008D42E6" w:rsidP="00286A71">
      <w:pPr>
        <w:jc w:val="both"/>
        <w:rPr>
          <w:b/>
          <w:bCs/>
        </w:rPr>
      </w:pPr>
      <w:r w:rsidRPr="008D42E6">
        <w:rPr>
          <w:b/>
          <w:bCs/>
        </w:rPr>
        <w:t>20 CSR 4240-10.175 Customer Information of Electrical Corporations, Gas Corporations, Heating Companies, Water Corporations, and Sewer Corporations</w:t>
      </w:r>
    </w:p>
    <w:p w14:paraId="7EC5BF65" w14:textId="034C8380" w:rsidR="008D42E6" w:rsidRDefault="008D42E6" w:rsidP="00286A71">
      <w:pPr>
        <w:jc w:val="both"/>
        <w:rPr>
          <w:b/>
          <w:bCs/>
        </w:rPr>
      </w:pPr>
    </w:p>
    <w:p w14:paraId="295D7814" w14:textId="73A19756" w:rsidR="008D42E6" w:rsidRDefault="008D42E6" w:rsidP="00286A71">
      <w:pPr>
        <w:jc w:val="both"/>
        <w:rPr>
          <w:i/>
          <w:iCs/>
        </w:rPr>
      </w:pPr>
      <w:r>
        <w:rPr>
          <w:i/>
          <w:iCs/>
        </w:rPr>
        <w:t>PURPOSE:  This rule is intended to prevent the misuse of personally identifiable customer information.</w:t>
      </w:r>
    </w:p>
    <w:p w14:paraId="1937B335" w14:textId="08E2C090" w:rsidR="008D42E6" w:rsidRDefault="008D42E6" w:rsidP="00286A71">
      <w:pPr>
        <w:jc w:val="both"/>
        <w:rPr>
          <w:i/>
          <w:iCs/>
        </w:rPr>
      </w:pPr>
    </w:p>
    <w:p w14:paraId="7E0212A6" w14:textId="2799CCE7" w:rsidR="008D42E6" w:rsidRDefault="008D42E6" w:rsidP="00286A71">
      <w:pPr>
        <w:pStyle w:val="ListParagraph"/>
        <w:numPr>
          <w:ilvl w:val="0"/>
          <w:numId w:val="1"/>
        </w:numPr>
        <w:jc w:val="both"/>
      </w:pPr>
      <w:r>
        <w:t>Definitions</w:t>
      </w:r>
      <w:r w:rsidR="004146D2">
        <w:t>.</w:t>
      </w:r>
    </w:p>
    <w:p w14:paraId="423E207A" w14:textId="77777777" w:rsidR="008D42E6" w:rsidRDefault="008D42E6" w:rsidP="00286A71">
      <w:pPr>
        <w:ind w:firstLine="720"/>
        <w:jc w:val="both"/>
      </w:pPr>
    </w:p>
    <w:p w14:paraId="08230882" w14:textId="6563EF97" w:rsidR="00CA7414" w:rsidRPr="00402974" w:rsidRDefault="00CA7414" w:rsidP="00CA7414">
      <w:pPr>
        <w:pStyle w:val="ListParagraph"/>
        <w:numPr>
          <w:ilvl w:val="0"/>
          <w:numId w:val="2"/>
        </w:numPr>
        <w:jc w:val="both"/>
        <w:rPr>
          <w:color w:val="4472C4" w:themeColor="accent1"/>
          <w:u w:val="single"/>
        </w:rPr>
      </w:pPr>
      <w:r w:rsidRPr="00402974">
        <w:rPr>
          <w:color w:val="4472C4" w:themeColor="accent1"/>
          <w:u w:val="single"/>
        </w:rPr>
        <w:t xml:space="preserve">Aggregated Customer Information means information derived from combining the data of multiple customers in such a manner that no single customer can be </w:t>
      </w:r>
      <w:r w:rsidR="00B34933" w:rsidRPr="00402974">
        <w:rPr>
          <w:color w:val="4472C4" w:themeColor="accent1"/>
          <w:u w:val="single"/>
        </w:rPr>
        <w:t xml:space="preserve">individually </w:t>
      </w:r>
      <w:r w:rsidRPr="00402974">
        <w:rPr>
          <w:color w:val="4472C4" w:themeColor="accent1"/>
          <w:u w:val="single"/>
        </w:rPr>
        <w:t xml:space="preserve">identified. For purposes of this definition, </w:t>
      </w:r>
      <w:commentRangeStart w:id="0"/>
      <w:r w:rsidRPr="00402974">
        <w:rPr>
          <w:color w:val="4472C4" w:themeColor="accent1"/>
          <w:u w:val="single"/>
        </w:rPr>
        <w:t>such aggregated customer information shall contain</w:t>
      </w:r>
      <w:r w:rsidR="00B34933" w:rsidRPr="00402974">
        <w:rPr>
          <w:color w:val="4472C4" w:themeColor="accent1"/>
          <w:u w:val="single"/>
        </w:rPr>
        <w:t xml:space="preserve"> the information of</w:t>
      </w:r>
      <w:r w:rsidRPr="00402974">
        <w:rPr>
          <w:color w:val="4472C4" w:themeColor="accent1"/>
          <w:u w:val="single"/>
        </w:rPr>
        <w:t xml:space="preserve"> either at least fifteen (15) residential customers </w:t>
      </w:r>
      <w:r w:rsidR="00C31BB3" w:rsidRPr="00402974">
        <w:rPr>
          <w:color w:val="4472C4" w:themeColor="accent1"/>
          <w:u w:val="single"/>
        </w:rPr>
        <w:t>residing in single family or detached homes</w:t>
      </w:r>
      <w:r w:rsidRPr="00402974">
        <w:rPr>
          <w:color w:val="4472C4" w:themeColor="accent1"/>
          <w:u w:val="single"/>
        </w:rPr>
        <w:t xml:space="preserve"> </w:t>
      </w:r>
      <w:r w:rsidRPr="00402974">
        <w:rPr>
          <w:color w:val="4472C4" w:themeColor="accent1"/>
          <w:u w:val="single"/>
        </w:rPr>
        <w:t>with no individual customer’s load exceeding fifteen (15) percent of the data included in the aggregate</w:t>
      </w:r>
      <w:r w:rsidR="00C31BB3" w:rsidRPr="00402974">
        <w:rPr>
          <w:color w:val="4472C4" w:themeColor="accent1"/>
          <w:u w:val="single"/>
        </w:rPr>
        <w:t xml:space="preserve">, multifamily properties with five (5) or more dwelling units with no individual customer’s load exceeding fifty (50) percent of the data included, </w:t>
      </w:r>
      <w:r w:rsidRPr="00402974">
        <w:rPr>
          <w:color w:val="4472C4" w:themeColor="accent1"/>
          <w:u w:val="single"/>
        </w:rPr>
        <w:t>o</w:t>
      </w:r>
      <w:commentRangeEnd w:id="0"/>
      <w:r w:rsidR="00160D3F" w:rsidRPr="00402974">
        <w:rPr>
          <w:rStyle w:val="CommentReference"/>
          <w:u w:val="single"/>
        </w:rPr>
        <w:commentReference w:id="0"/>
      </w:r>
      <w:r w:rsidRPr="00402974">
        <w:rPr>
          <w:color w:val="4472C4" w:themeColor="accent1"/>
          <w:u w:val="single"/>
        </w:rPr>
        <w:t>r at least four (4) nonresidential customers with no individual customer’s load exceeding eighty (80) percent of the data included in the aggregate.</w:t>
      </w:r>
    </w:p>
    <w:p w14:paraId="0E2BA677" w14:textId="3B81A7B1" w:rsidR="002C1FD3" w:rsidRPr="00402974" w:rsidRDefault="002C1FD3" w:rsidP="00CA7414">
      <w:pPr>
        <w:pStyle w:val="ListParagraph"/>
        <w:numPr>
          <w:ilvl w:val="0"/>
          <w:numId w:val="2"/>
        </w:numPr>
        <w:jc w:val="both"/>
        <w:rPr>
          <w:color w:val="4472C4" w:themeColor="accent1"/>
          <w:u w:val="single"/>
        </w:rPr>
      </w:pPr>
      <w:r w:rsidRPr="00402974">
        <w:rPr>
          <w:color w:val="4472C4" w:themeColor="accent1"/>
          <w:u w:val="single"/>
        </w:rPr>
        <w:t xml:space="preserve">Consent means </w:t>
      </w:r>
      <w:r w:rsidR="005A0316" w:rsidRPr="00402974">
        <w:rPr>
          <w:color w:val="4472C4" w:themeColor="accent1"/>
          <w:u w:val="single"/>
        </w:rPr>
        <w:t>(i)</w:t>
      </w:r>
      <w:r w:rsidR="00B34933" w:rsidRPr="00402974">
        <w:rPr>
          <w:color w:val="4472C4" w:themeColor="accent1"/>
          <w:u w:val="single"/>
        </w:rPr>
        <w:t xml:space="preserve"> </w:t>
      </w:r>
      <w:r w:rsidRPr="00402974">
        <w:rPr>
          <w:color w:val="4472C4" w:themeColor="accent1"/>
          <w:u w:val="single"/>
        </w:rPr>
        <w:t xml:space="preserve">written </w:t>
      </w:r>
      <w:r w:rsidR="00BB6CEB" w:rsidRPr="00402974">
        <w:rPr>
          <w:color w:val="4472C4" w:themeColor="accent1"/>
          <w:u w:val="single"/>
        </w:rPr>
        <w:t>permission</w:t>
      </w:r>
      <w:r w:rsidRPr="00402974">
        <w:rPr>
          <w:color w:val="4472C4" w:themeColor="accent1"/>
          <w:u w:val="single"/>
        </w:rPr>
        <w:t xml:space="preserve"> provided by a customer </w:t>
      </w:r>
      <w:r w:rsidR="00D355AC" w:rsidRPr="00402974">
        <w:rPr>
          <w:color w:val="4472C4" w:themeColor="accent1"/>
          <w:u w:val="single"/>
        </w:rPr>
        <w:t>on a commission approved form</w:t>
      </w:r>
      <w:r w:rsidR="005A0316" w:rsidRPr="00402974">
        <w:rPr>
          <w:color w:val="4472C4" w:themeColor="accent1"/>
          <w:u w:val="single"/>
        </w:rPr>
        <w:t>, (ii)</w:t>
      </w:r>
      <w:r w:rsidR="00D355AC" w:rsidRPr="00402974">
        <w:rPr>
          <w:color w:val="4472C4" w:themeColor="accent1"/>
          <w:u w:val="single"/>
        </w:rPr>
        <w:t xml:space="preserve"> </w:t>
      </w:r>
      <w:r w:rsidR="00CA7414" w:rsidRPr="00402974">
        <w:rPr>
          <w:color w:val="4472C4" w:themeColor="accent1"/>
          <w:u w:val="single"/>
        </w:rPr>
        <w:t xml:space="preserve">verbal permission memorialized in a </w:t>
      </w:r>
      <w:r w:rsidR="00FB1CDF" w:rsidRPr="00402974">
        <w:rPr>
          <w:color w:val="4472C4" w:themeColor="accent1"/>
          <w:u w:val="single"/>
        </w:rPr>
        <w:t xml:space="preserve">voice </w:t>
      </w:r>
      <w:r w:rsidR="00D355AC" w:rsidRPr="00402974">
        <w:rPr>
          <w:color w:val="4472C4" w:themeColor="accent1"/>
          <w:u w:val="single"/>
        </w:rPr>
        <w:t>recording in</w:t>
      </w:r>
      <w:r w:rsidRPr="00402974">
        <w:rPr>
          <w:color w:val="4472C4" w:themeColor="accent1"/>
          <w:u w:val="single"/>
        </w:rPr>
        <w:t xml:space="preserve"> response to a request to share</w:t>
      </w:r>
      <w:r w:rsidR="00F614D4" w:rsidRPr="00402974">
        <w:rPr>
          <w:color w:val="4472C4" w:themeColor="accent1"/>
          <w:u w:val="single"/>
        </w:rPr>
        <w:t xml:space="preserve"> the</w:t>
      </w:r>
      <w:r w:rsidRPr="00402974">
        <w:rPr>
          <w:color w:val="4472C4" w:themeColor="accent1"/>
          <w:u w:val="single"/>
        </w:rPr>
        <w:t xml:space="preserve"> </w:t>
      </w:r>
      <w:r w:rsidR="006826EA" w:rsidRPr="00402974">
        <w:rPr>
          <w:color w:val="4472C4" w:themeColor="accent1"/>
          <w:u w:val="single"/>
        </w:rPr>
        <w:t>individual</w:t>
      </w:r>
      <w:r w:rsidRPr="00402974">
        <w:rPr>
          <w:color w:val="4472C4" w:themeColor="accent1"/>
          <w:u w:val="single"/>
        </w:rPr>
        <w:t xml:space="preserve"> customer</w:t>
      </w:r>
      <w:r w:rsidR="00F614D4" w:rsidRPr="00402974">
        <w:rPr>
          <w:color w:val="4472C4" w:themeColor="accent1"/>
          <w:u w:val="single"/>
        </w:rPr>
        <w:t>’s</w:t>
      </w:r>
      <w:r w:rsidRPr="00402974">
        <w:rPr>
          <w:color w:val="4472C4" w:themeColor="accent1"/>
          <w:u w:val="single"/>
        </w:rPr>
        <w:t xml:space="preserve"> information</w:t>
      </w:r>
      <w:r w:rsidR="005A0316" w:rsidRPr="00402974">
        <w:rPr>
          <w:color w:val="4472C4" w:themeColor="accent1"/>
          <w:u w:val="single"/>
        </w:rPr>
        <w:t>, or (iii) a web-based, electronic consent form</w:t>
      </w:r>
      <w:r w:rsidRPr="00402974">
        <w:rPr>
          <w:color w:val="4472C4" w:themeColor="accent1"/>
          <w:u w:val="single"/>
        </w:rPr>
        <w:t xml:space="preserve">. </w:t>
      </w:r>
      <w:r w:rsidR="00CA7414" w:rsidRPr="00402974">
        <w:rPr>
          <w:color w:val="4472C4" w:themeColor="accent1"/>
          <w:u w:val="single"/>
        </w:rPr>
        <w:t>For purpose of this rule, c</w:t>
      </w:r>
      <w:r w:rsidRPr="00402974">
        <w:rPr>
          <w:color w:val="4472C4" w:themeColor="accent1"/>
          <w:u w:val="single"/>
        </w:rPr>
        <w:t xml:space="preserve">ustomer consent shall only be deemed to have been offered for </w:t>
      </w:r>
      <w:r w:rsidR="005A0316" w:rsidRPr="00402974">
        <w:rPr>
          <w:color w:val="4472C4" w:themeColor="accent1"/>
          <w:u w:val="single"/>
        </w:rPr>
        <w:t xml:space="preserve">defined </w:t>
      </w:r>
      <w:r w:rsidRPr="00402974">
        <w:rPr>
          <w:color w:val="4472C4" w:themeColor="accent1"/>
          <w:u w:val="single"/>
        </w:rPr>
        <w:t>requests or transactions, and shall not be inferred for ongoing or successive transactions</w:t>
      </w:r>
      <w:r w:rsidR="005A0316" w:rsidRPr="00402974">
        <w:rPr>
          <w:color w:val="4472C4" w:themeColor="accent1"/>
          <w:u w:val="single"/>
        </w:rPr>
        <w:t xml:space="preserve"> unless explicitly agreed to by a customer</w:t>
      </w:r>
      <w:r w:rsidRPr="00402974">
        <w:rPr>
          <w:color w:val="4472C4" w:themeColor="accent1"/>
          <w:u w:val="single"/>
        </w:rPr>
        <w:t>.</w:t>
      </w:r>
      <w:r w:rsidR="00C31BB3" w:rsidRPr="00402974">
        <w:rPr>
          <w:color w:val="4472C4" w:themeColor="accent1"/>
          <w:u w:val="single"/>
        </w:rPr>
        <w:t xml:space="preserve"> </w:t>
      </w:r>
      <w:commentRangeStart w:id="1"/>
      <w:r w:rsidR="00C31BB3" w:rsidRPr="00402974">
        <w:rPr>
          <w:color w:val="4472C4" w:themeColor="accent1"/>
          <w:u w:val="single"/>
        </w:rPr>
        <w:t>When ongoing or successive transactions are explicitly agreed to by a customer, consent shall be valid until rescinded by the customer.</w:t>
      </w:r>
      <w:commentRangeEnd w:id="1"/>
      <w:r w:rsidR="00160D3F" w:rsidRPr="00402974">
        <w:rPr>
          <w:rStyle w:val="CommentReference"/>
          <w:u w:val="single"/>
        </w:rPr>
        <w:commentReference w:id="1"/>
      </w:r>
      <w:r w:rsidR="00160D3F" w:rsidRPr="00402974">
        <w:rPr>
          <w:color w:val="4472C4" w:themeColor="accent1"/>
          <w:u w:val="single"/>
        </w:rPr>
        <w:t xml:space="preserve"> </w:t>
      </w:r>
      <w:r w:rsidR="00CA7414" w:rsidRPr="00402974">
        <w:rPr>
          <w:color w:val="4472C4" w:themeColor="accent1"/>
          <w:u w:val="single"/>
        </w:rPr>
        <w:t xml:space="preserve">Such consent shall be freely revocable by the customer </w:t>
      </w:r>
      <w:r w:rsidRPr="00402974">
        <w:rPr>
          <w:color w:val="4472C4" w:themeColor="accent1"/>
          <w:u w:val="single"/>
        </w:rPr>
        <w:t>at any time.</w:t>
      </w:r>
    </w:p>
    <w:p w14:paraId="488F214A" w14:textId="2D4A159B" w:rsidR="008D42E6" w:rsidRDefault="008D42E6" w:rsidP="00286A71">
      <w:pPr>
        <w:pStyle w:val="ListParagraph"/>
        <w:numPr>
          <w:ilvl w:val="0"/>
          <w:numId w:val="2"/>
        </w:numPr>
        <w:jc w:val="both"/>
      </w:pPr>
      <w:r>
        <w:t>Utility means, for purposes of this rule, an electrical corporation, gas corporation, heating company, water corporation, or sewer corporation as defined in section 386.020, RSMo, and subject to commission regulation pursuant to Chapters 386 and 393, RSMo.</w:t>
      </w:r>
    </w:p>
    <w:p w14:paraId="6107301C" w14:textId="3520330C" w:rsidR="008D42E6" w:rsidRDefault="008D42E6" w:rsidP="00286A71">
      <w:pPr>
        <w:pStyle w:val="ListParagraph"/>
        <w:numPr>
          <w:ilvl w:val="0"/>
          <w:numId w:val="2"/>
        </w:numPr>
        <w:jc w:val="both"/>
      </w:pPr>
      <w:r>
        <w:t>Information means any data obtained by a utility that is not obtainable by nonaffiliated entities or can only be obtained at a competitively prohibitive cost in either time or resources.</w:t>
      </w:r>
    </w:p>
    <w:p w14:paraId="2F53282E" w14:textId="48BC97E1" w:rsidR="008D42E6" w:rsidRDefault="008D42E6" w:rsidP="00286A71">
      <w:pPr>
        <w:jc w:val="both"/>
      </w:pPr>
    </w:p>
    <w:p w14:paraId="061B5DE5" w14:textId="52566F91" w:rsidR="008D42E6" w:rsidRDefault="008D42E6" w:rsidP="00286A71">
      <w:pPr>
        <w:pStyle w:val="ListParagraph"/>
        <w:numPr>
          <w:ilvl w:val="0"/>
          <w:numId w:val="1"/>
        </w:numPr>
        <w:jc w:val="both"/>
      </w:pPr>
      <w:r>
        <w:t>Standards</w:t>
      </w:r>
      <w:r w:rsidR="004146D2">
        <w:t>.</w:t>
      </w:r>
    </w:p>
    <w:p w14:paraId="62922BE7" w14:textId="77777777" w:rsidR="00991792" w:rsidRDefault="00991792" w:rsidP="00286A71">
      <w:pPr>
        <w:pStyle w:val="ListParagraph"/>
        <w:jc w:val="both"/>
      </w:pPr>
    </w:p>
    <w:p w14:paraId="21004D33" w14:textId="17EDC21A" w:rsidR="008D42E6" w:rsidRDefault="008D42E6" w:rsidP="00286A71">
      <w:pPr>
        <w:pStyle w:val="ListParagraph"/>
        <w:numPr>
          <w:ilvl w:val="0"/>
          <w:numId w:val="3"/>
        </w:numPr>
        <w:jc w:val="both"/>
      </w:pPr>
      <w:r>
        <w:t>Specific customer information shall be made available to affiliated or unaffiliated entities only upon consent of the customer or as otherwise provided by law or commission rules or orders.</w:t>
      </w:r>
    </w:p>
    <w:p w14:paraId="0526F987" w14:textId="1262AB67" w:rsidR="008D42E6" w:rsidRPr="00160D3F" w:rsidRDefault="00F716DC" w:rsidP="00286A71">
      <w:pPr>
        <w:pStyle w:val="ListParagraph"/>
        <w:numPr>
          <w:ilvl w:val="0"/>
          <w:numId w:val="3"/>
        </w:numPr>
        <w:jc w:val="both"/>
      </w:pPr>
      <w:r w:rsidRPr="00402974">
        <w:rPr>
          <w:color w:val="4472C4" w:themeColor="accent1"/>
          <w:u w:val="single"/>
        </w:rPr>
        <w:lastRenderedPageBreak/>
        <w:t>A</w:t>
      </w:r>
      <w:r w:rsidR="008D42E6" w:rsidRPr="00402974">
        <w:rPr>
          <w:color w:val="4472C4" w:themeColor="accent1"/>
          <w:u w:val="single"/>
        </w:rPr>
        <w:t>ggregated</w:t>
      </w:r>
      <w:r w:rsidR="008D42E6" w:rsidRPr="00160D3F">
        <w:t xml:space="preserve"> customer information shall be made available to affiliated or unaffiliated entities upon </w:t>
      </w:r>
      <w:r w:rsidRPr="00402974">
        <w:rPr>
          <w:color w:val="4472C4" w:themeColor="accent1"/>
          <w:u w:val="single"/>
        </w:rPr>
        <w:t>request</w:t>
      </w:r>
      <w:r w:rsidR="00CA7414" w:rsidRPr="00402974">
        <w:rPr>
          <w:color w:val="4472C4" w:themeColor="accent1"/>
          <w:u w:val="single"/>
        </w:rPr>
        <w:t xml:space="preserve"> unless otherwise ordered by the Commission</w:t>
      </w:r>
      <w:r w:rsidR="008D42E6" w:rsidRPr="00402974">
        <w:rPr>
          <w:color w:val="4472C4" w:themeColor="accent1"/>
          <w:u w:val="single"/>
        </w:rPr>
        <w:t>.</w:t>
      </w:r>
    </w:p>
    <w:p w14:paraId="4F9DE9C9" w14:textId="52DF7832" w:rsidR="008D42E6" w:rsidRPr="00160D3F" w:rsidRDefault="008D42E6" w:rsidP="00286A71">
      <w:pPr>
        <w:pStyle w:val="ListParagraph"/>
        <w:numPr>
          <w:ilvl w:val="0"/>
          <w:numId w:val="3"/>
        </w:numPr>
        <w:jc w:val="both"/>
      </w:pPr>
      <w:r w:rsidRPr="00160D3F">
        <w:t>The utility may set reasonable charges for costs incurred in producing customer information.</w:t>
      </w:r>
    </w:p>
    <w:p w14:paraId="6212F65F" w14:textId="7DBCA0C9" w:rsidR="008D42E6" w:rsidRPr="00160D3F" w:rsidRDefault="008D42E6" w:rsidP="00286A71">
      <w:pPr>
        <w:pStyle w:val="ListParagraph"/>
        <w:numPr>
          <w:ilvl w:val="0"/>
          <w:numId w:val="3"/>
        </w:numPr>
        <w:jc w:val="both"/>
      </w:pPr>
      <w:r w:rsidRPr="00160D3F">
        <w:t>Customer information includes information provided to the regulated utility by affiliated or unaffiliated entities.</w:t>
      </w:r>
    </w:p>
    <w:p w14:paraId="4A2426D9" w14:textId="4546A176" w:rsidR="00EF7C19" w:rsidRPr="00160D3F" w:rsidRDefault="00196040" w:rsidP="00286A71">
      <w:pPr>
        <w:pStyle w:val="ListParagraph"/>
        <w:numPr>
          <w:ilvl w:val="0"/>
          <w:numId w:val="3"/>
        </w:numPr>
        <w:jc w:val="both"/>
        <w:rPr>
          <w:color w:val="4472C4" w:themeColor="accent1"/>
        </w:rPr>
      </w:pPr>
      <w:r w:rsidRPr="00402974">
        <w:rPr>
          <w:color w:val="4472C4" w:themeColor="accent1"/>
          <w:u w:val="single"/>
        </w:rPr>
        <w:t xml:space="preserve">A utility customer’s </w:t>
      </w:r>
      <w:r w:rsidR="00150E6B" w:rsidRPr="00402974">
        <w:rPr>
          <w:color w:val="4472C4" w:themeColor="accent1"/>
          <w:u w:val="single"/>
        </w:rPr>
        <w:t>i</w:t>
      </w:r>
      <w:r w:rsidRPr="00402974">
        <w:rPr>
          <w:color w:val="4472C4" w:themeColor="accent1"/>
          <w:u w:val="single"/>
        </w:rPr>
        <w:t>nformation remains the sole property of the customer at all times</w:t>
      </w:r>
      <w:r w:rsidRPr="00160D3F">
        <w:rPr>
          <w:color w:val="4472C4" w:themeColor="accent1"/>
        </w:rPr>
        <w:t>.</w:t>
      </w:r>
      <w:r w:rsidR="00EF7C19" w:rsidRPr="00160D3F">
        <w:rPr>
          <w:color w:val="4472C4" w:themeColor="accent1"/>
        </w:rPr>
        <w:t xml:space="preserve">  </w:t>
      </w:r>
    </w:p>
    <w:p w14:paraId="25725B86" w14:textId="5F63440B" w:rsidR="008D42E6" w:rsidRPr="00160D3F" w:rsidRDefault="008D42E6" w:rsidP="00286A71">
      <w:pPr>
        <w:jc w:val="both"/>
      </w:pPr>
    </w:p>
    <w:p w14:paraId="7E3644EA" w14:textId="5902E99D" w:rsidR="008D42E6" w:rsidRPr="00160D3F" w:rsidRDefault="008D42E6" w:rsidP="00286A71">
      <w:pPr>
        <w:pStyle w:val="ListParagraph"/>
        <w:numPr>
          <w:ilvl w:val="0"/>
          <w:numId w:val="1"/>
        </w:numPr>
        <w:jc w:val="both"/>
      </w:pPr>
      <w:r w:rsidRPr="00160D3F">
        <w:t>Other Notification Required Respecting Personal Customer Information</w:t>
      </w:r>
      <w:r w:rsidR="004146D2" w:rsidRPr="00160D3F">
        <w:t>.</w:t>
      </w:r>
    </w:p>
    <w:p w14:paraId="1E8C5EEC" w14:textId="77777777" w:rsidR="00991792" w:rsidRPr="00160D3F" w:rsidRDefault="00991792" w:rsidP="00286A71">
      <w:pPr>
        <w:pStyle w:val="ListParagraph"/>
        <w:jc w:val="both"/>
      </w:pPr>
    </w:p>
    <w:p w14:paraId="3DB1A29C" w14:textId="0101FF26" w:rsidR="007E7A46" w:rsidRPr="00160D3F" w:rsidRDefault="008D42E6" w:rsidP="00286A71">
      <w:pPr>
        <w:pStyle w:val="ListParagraph"/>
        <w:numPr>
          <w:ilvl w:val="0"/>
          <w:numId w:val="4"/>
        </w:numPr>
        <w:jc w:val="both"/>
      </w:pPr>
      <w:r w:rsidRPr="00160D3F">
        <w:t>A utility shall notify</w:t>
      </w:r>
      <w:r w:rsidR="00196040" w:rsidRPr="00160D3F">
        <w:t xml:space="preserve">, </w:t>
      </w:r>
      <w:r w:rsidR="00196040" w:rsidRPr="00402974">
        <w:rPr>
          <w:color w:val="4472C4" w:themeColor="accent1"/>
          <w:u w:val="single"/>
        </w:rPr>
        <w:t>without unreasonable delay</w:t>
      </w:r>
      <w:r w:rsidR="00196040" w:rsidRPr="00402974">
        <w:rPr>
          <w:u w:val="single"/>
        </w:rPr>
        <w:t>,</w:t>
      </w:r>
      <w:r w:rsidRPr="00160D3F">
        <w:t xml:space="preserve"> staff counsel’s office and the Office of the Public Counsel if there is  a “breach of security” or “breach” as defined by subsection 407.1500.1, RSMo</w:t>
      </w:r>
      <w:r w:rsidR="00906994" w:rsidRPr="00160D3F">
        <w:t xml:space="preserve">.  </w:t>
      </w:r>
    </w:p>
    <w:p w14:paraId="6CAF9A7A" w14:textId="44A60116" w:rsidR="007E7A46" w:rsidRPr="00402974" w:rsidRDefault="00906994" w:rsidP="007E7A46">
      <w:pPr>
        <w:pStyle w:val="ListParagraph"/>
        <w:numPr>
          <w:ilvl w:val="1"/>
          <w:numId w:val="4"/>
        </w:numPr>
        <w:jc w:val="both"/>
        <w:rPr>
          <w:color w:val="4472C4" w:themeColor="accent1"/>
          <w:u w:val="single"/>
        </w:rPr>
      </w:pPr>
      <w:r w:rsidRPr="00160D3F">
        <w:t>The</w:t>
      </w:r>
      <w:r w:rsidR="008D42E6" w:rsidRPr="00160D3F">
        <w:t xml:space="preserve"> utility shall provide a copy of </w:t>
      </w:r>
      <w:r w:rsidRPr="00402974">
        <w:rPr>
          <w:color w:val="4472C4" w:themeColor="accent1"/>
          <w:u w:val="single"/>
        </w:rPr>
        <w:t>the notice provided to customers and a copy of a</w:t>
      </w:r>
      <w:r w:rsidR="005F3D43" w:rsidRPr="00402974">
        <w:rPr>
          <w:color w:val="4472C4" w:themeColor="accent1"/>
          <w:u w:val="single"/>
        </w:rPr>
        <w:t>ll</w:t>
      </w:r>
      <w:r w:rsidRPr="00402974">
        <w:rPr>
          <w:color w:val="4472C4" w:themeColor="accent1"/>
          <w:u w:val="single"/>
        </w:rPr>
        <w:t xml:space="preserve"> report</w:t>
      </w:r>
      <w:r w:rsidR="005F3D43" w:rsidRPr="00402974">
        <w:rPr>
          <w:color w:val="4472C4" w:themeColor="accent1"/>
          <w:u w:val="single"/>
        </w:rPr>
        <w:t>s</w:t>
      </w:r>
      <w:r w:rsidRPr="00402974">
        <w:rPr>
          <w:color w:val="4472C4" w:themeColor="accent1"/>
          <w:u w:val="single"/>
        </w:rPr>
        <w:t xml:space="preserve"> detailing the investigation</w:t>
      </w:r>
      <w:r w:rsidR="005F3D43" w:rsidRPr="00402974">
        <w:rPr>
          <w:color w:val="4472C4" w:themeColor="accent1"/>
          <w:u w:val="single"/>
        </w:rPr>
        <w:t>(s)</w:t>
      </w:r>
      <w:r w:rsidRPr="00402974">
        <w:rPr>
          <w:color w:val="4472C4" w:themeColor="accent1"/>
          <w:u w:val="single"/>
        </w:rPr>
        <w:t xml:space="preserve"> completed</w:t>
      </w:r>
      <w:r w:rsidR="008D42E6" w:rsidRPr="00160D3F">
        <w:rPr>
          <w:color w:val="4472C4" w:themeColor="accent1"/>
        </w:rPr>
        <w:t xml:space="preserve"> </w:t>
      </w:r>
      <w:r w:rsidR="008D42E6" w:rsidRPr="00160D3F">
        <w:t>to the staff counsel’s office and the Office of the Public Counsel</w:t>
      </w:r>
      <w:r w:rsidR="00E71B47" w:rsidRPr="00160D3F">
        <w:t xml:space="preserve">, </w:t>
      </w:r>
      <w:r w:rsidR="00E71B47" w:rsidRPr="00402974">
        <w:rPr>
          <w:color w:val="4472C4" w:themeColor="accent1"/>
          <w:u w:val="single"/>
        </w:rPr>
        <w:t>in accordance with the following:</w:t>
      </w:r>
      <w:r w:rsidR="00196040" w:rsidRPr="00402974">
        <w:rPr>
          <w:color w:val="4472C4" w:themeColor="accent1"/>
          <w:u w:val="single"/>
        </w:rPr>
        <w:t xml:space="preserve">  </w:t>
      </w:r>
    </w:p>
    <w:p w14:paraId="43CB6A12" w14:textId="77777777" w:rsidR="007E7A46" w:rsidRPr="00402974" w:rsidRDefault="00196040" w:rsidP="007E7A46">
      <w:pPr>
        <w:pStyle w:val="ListParagraph"/>
        <w:numPr>
          <w:ilvl w:val="2"/>
          <w:numId w:val="4"/>
        </w:numPr>
        <w:jc w:val="both"/>
        <w:rPr>
          <w:color w:val="4472C4" w:themeColor="accent1"/>
          <w:u w:val="single"/>
        </w:rPr>
      </w:pPr>
      <w:r w:rsidRPr="00402974">
        <w:rPr>
          <w:color w:val="4472C4" w:themeColor="accent1"/>
          <w:u w:val="single"/>
        </w:rPr>
        <w:t>The notice</w:t>
      </w:r>
      <w:r w:rsidR="007E7A46" w:rsidRPr="00402974">
        <w:rPr>
          <w:color w:val="4472C4" w:themeColor="accent1"/>
          <w:u w:val="single"/>
        </w:rPr>
        <w:t xml:space="preserve"> provided to customers</w:t>
      </w:r>
      <w:r w:rsidRPr="00402974">
        <w:rPr>
          <w:color w:val="4472C4" w:themeColor="accent1"/>
          <w:u w:val="single"/>
        </w:rPr>
        <w:t xml:space="preserve"> shall be provided at the same time that it is sent to customers.  </w:t>
      </w:r>
    </w:p>
    <w:p w14:paraId="6EBB30D2" w14:textId="0B9E8B5E" w:rsidR="008D42E6" w:rsidRPr="00402974" w:rsidRDefault="00196040" w:rsidP="00A56496">
      <w:pPr>
        <w:pStyle w:val="ListParagraph"/>
        <w:numPr>
          <w:ilvl w:val="2"/>
          <w:numId w:val="4"/>
        </w:numPr>
        <w:jc w:val="both"/>
        <w:rPr>
          <w:color w:val="4472C4" w:themeColor="accent1"/>
          <w:u w:val="single"/>
        </w:rPr>
      </w:pPr>
      <w:r w:rsidRPr="00402974">
        <w:rPr>
          <w:color w:val="4472C4" w:themeColor="accent1"/>
          <w:u w:val="single"/>
        </w:rPr>
        <w:t>The report</w:t>
      </w:r>
      <w:r w:rsidR="005F3D43" w:rsidRPr="00402974">
        <w:rPr>
          <w:color w:val="4472C4" w:themeColor="accent1"/>
          <w:u w:val="single"/>
        </w:rPr>
        <w:t>(s)</w:t>
      </w:r>
      <w:r w:rsidRPr="00402974">
        <w:rPr>
          <w:color w:val="4472C4" w:themeColor="accent1"/>
          <w:u w:val="single"/>
        </w:rPr>
        <w:t xml:space="preserve"> shall be provided </w:t>
      </w:r>
      <w:r w:rsidR="006826EA" w:rsidRPr="00402974">
        <w:rPr>
          <w:color w:val="4472C4" w:themeColor="accent1"/>
          <w:u w:val="single"/>
        </w:rPr>
        <w:t xml:space="preserve">immediately </w:t>
      </w:r>
      <w:r w:rsidRPr="00402974">
        <w:rPr>
          <w:color w:val="4472C4" w:themeColor="accent1"/>
          <w:u w:val="single"/>
        </w:rPr>
        <w:t>upon completion</w:t>
      </w:r>
      <w:r w:rsidR="006826EA" w:rsidRPr="00402974">
        <w:rPr>
          <w:color w:val="4472C4" w:themeColor="accent1"/>
          <w:u w:val="single"/>
        </w:rPr>
        <w:t>,</w:t>
      </w:r>
      <w:r w:rsidR="007E7A46" w:rsidRPr="00402974">
        <w:rPr>
          <w:color w:val="4472C4" w:themeColor="accent1"/>
          <w:u w:val="single"/>
        </w:rPr>
        <w:t xml:space="preserve"> and</w:t>
      </w:r>
      <w:r w:rsidR="006826EA" w:rsidRPr="00402974">
        <w:rPr>
          <w:color w:val="4472C4" w:themeColor="accent1"/>
          <w:u w:val="single"/>
        </w:rPr>
        <w:t xml:space="preserve"> in the event that a</w:t>
      </w:r>
      <w:r w:rsidR="007E7A46" w:rsidRPr="00402974">
        <w:rPr>
          <w:color w:val="4472C4" w:themeColor="accent1"/>
          <w:u w:val="single"/>
        </w:rPr>
        <w:t xml:space="preserve"> third-party </w:t>
      </w:r>
      <w:r w:rsidR="006826EA" w:rsidRPr="00402974">
        <w:rPr>
          <w:color w:val="4472C4" w:themeColor="accent1"/>
          <w:u w:val="single"/>
        </w:rPr>
        <w:t xml:space="preserve">entity completes the </w:t>
      </w:r>
      <w:r w:rsidR="007E7A46" w:rsidRPr="00402974">
        <w:rPr>
          <w:color w:val="4472C4" w:themeColor="accent1"/>
          <w:u w:val="single"/>
        </w:rPr>
        <w:t>report</w:t>
      </w:r>
      <w:r w:rsidR="005F3D43" w:rsidRPr="00402974">
        <w:rPr>
          <w:color w:val="4472C4" w:themeColor="accent1"/>
          <w:u w:val="single"/>
        </w:rPr>
        <w:t>(s)</w:t>
      </w:r>
      <w:r w:rsidR="007E7A46" w:rsidRPr="00402974">
        <w:rPr>
          <w:color w:val="4472C4" w:themeColor="accent1"/>
          <w:u w:val="single"/>
        </w:rPr>
        <w:t>, that third-party entity will provide a copy</w:t>
      </w:r>
      <w:r w:rsidR="00EB7A00" w:rsidRPr="00402974">
        <w:rPr>
          <w:color w:val="4472C4" w:themeColor="accent1"/>
          <w:u w:val="single"/>
        </w:rPr>
        <w:t xml:space="preserve"> of all drafts, including the final draft,</w:t>
      </w:r>
      <w:r w:rsidR="007E7A46" w:rsidRPr="00402974">
        <w:rPr>
          <w:color w:val="4472C4" w:themeColor="accent1"/>
          <w:u w:val="single"/>
        </w:rPr>
        <w:t xml:space="preserve"> to the </w:t>
      </w:r>
      <w:r w:rsidR="00160D3F" w:rsidRPr="00402974">
        <w:rPr>
          <w:color w:val="4472C4" w:themeColor="accent1"/>
          <w:u w:val="single"/>
        </w:rPr>
        <w:t>S</w:t>
      </w:r>
      <w:r w:rsidR="007E7A46" w:rsidRPr="00402974">
        <w:rPr>
          <w:color w:val="4472C4" w:themeColor="accent1"/>
          <w:u w:val="single"/>
        </w:rPr>
        <w:t xml:space="preserve">taff </w:t>
      </w:r>
      <w:r w:rsidR="00160D3F" w:rsidRPr="00402974">
        <w:rPr>
          <w:color w:val="4472C4" w:themeColor="accent1"/>
          <w:u w:val="single"/>
        </w:rPr>
        <w:t>C</w:t>
      </w:r>
      <w:r w:rsidR="007E7A46" w:rsidRPr="00402974">
        <w:rPr>
          <w:color w:val="4472C4" w:themeColor="accent1"/>
          <w:u w:val="single"/>
        </w:rPr>
        <w:t>ounsel’s office and the Office of the Public Counsel at the same time that it provides the</w:t>
      </w:r>
      <w:r w:rsidR="00EB7A00" w:rsidRPr="00402974">
        <w:rPr>
          <w:color w:val="4472C4" w:themeColor="accent1"/>
          <w:u w:val="single"/>
        </w:rPr>
        <w:t xml:space="preserve"> draft</w:t>
      </w:r>
      <w:r w:rsidR="007E7A46" w:rsidRPr="00402974">
        <w:rPr>
          <w:color w:val="4472C4" w:themeColor="accent1"/>
          <w:u w:val="single"/>
        </w:rPr>
        <w:t xml:space="preserve"> to the effected utility</w:t>
      </w:r>
      <w:r w:rsidRPr="00402974">
        <w:rPr>
          <w:color w:val="4472C4" w:themeColor="accent1"/>
          <w:u w:val="single"/>
        </w:rPr>
        <w:t>.</w:t>
      </w:r>
    </w:p>
    <w:p w14:paraId="2F02B1AD" w14:textId="6795BB10" w:rsidR="00426081" w:rsidRPr="00160D3F" w:rsidRDefault="00426081" w:rsidP="00426081">
      <w:pPr>
        <w:jc w:val="both"/>
      </w:pPr>
    </w:p>
    <w:p w14:paraId="7BBE4DC9" w14:textId="27C9E143" w:rsidR="00426081" w:rsidRPr="00402974" w:rsidRDefault="00426081" w:rsidP="00426081">
      <w:pPr>
        <w:pStyle w:val="ListParagraph"/>
        <w:numPr>
          <w:ilvl w:val="0"/>
          <w:numId w:val="1"/>
        </w:numPr>
        <w:jc w:val="both"/>
        <w:rPr>
          <w:color w:val="4472C4" w:themeColor="accent1"/>
          <w:u w:val="single"/>
        </w:rPr>
      </w:pPr>
      <w:r w:rsidRPr="00402974">
        <w:rPr>
          <w:color w:val="4472C4" w:themeColor="accent1"/>
          <w:u w:val="single"/>
        </w:rPr>
        <w:t xml:space="preserve">Customer Data Privacy Policy </w:t>
      </w:r>
    </w:p>
    <w:p w14:paraId="06D39C3D" w14:textId="77777777" w:rsidR="007E7A46" w:rsidRPr="00402974" w:rsidRDefault="007E7A46" w:rsidP="00A56496">
      <w:pPr>
        <w:pStyle w:val="ListParagraph"/>
        <w:jc w:val="both"/>
        <w:rPr>
          <w:color w:val="4472C4" w:themeColor="accent1"/>
          <w:u w:val="single"/>
        </w:rPr>
      </w:pPr>
    </w:p>
    <w:p w14:paraId="023AA9F1" w14:textId="07D519E8" w:rsidR="00B6277D" w:rsidRPr="00402974" w:rsidRDefault="00426081" w:rsidP="00B6277D">
      <w:pPr>
        <w:ind w:left="360" w:firstLine="360"/>
        <w:jc w:val="both"/>
        <w:rPr>
          <w:color w:val="4472C4" w:themeColor="accent1"/>
          <w:u w:val="single"/>
        </w:rPr>
      </w:pPr>
      <w:r w:rsidRPr="00402974">
        <w:rPr>
          <w:color w:val="4472C4" w:themeColor="accent1"/>
          <w:u w:val="single"/>
        </w:rPr>
        <w:t xml:space="preserve">(A) Each covered utility shall </w:t>
      </w:r>
      <w:r w:rsidR="00B6277D" w:rsidRPr="00402974">
        <w:rPr>
          <w:color w:val="4472C4" w:themeColor="accent1"/>
          <w:u w:val="single"/>
        </w:rPr>
        <w:t>submit to</w:t>
      </w:r>
      <w:r w:rsidRPr="00402974">
        <w:rPr>
          <w:color w:val="4472C4" w:themeColor="accent1"/>
          <w:u w:val="single"/>
        </w:rPr>
        <w:t xml:space="preserve"> the commission, for the commission’s approval, tariff </w:t>
      </w:r>
      <w:r w:rsidR="003251B9" w:rsidRPr="00402974">
        <w:rPr>
          <w:color w:val="4472C4" w:themeColor="accent1"/>
          <w:u w:val="single"/>
        </w:rPr>
        <w:t xml:space="preserve">sheet(s) </w:t>
      </w:r>
      <w:r w:rsidRPr="00402974">
        <w:rPr>
          <w:color w:val="4472C4" w:themeColor="accent1"/>
          <w:u w:val="single"/>
        </w:rPr>
        <w:t>that contain a customer data privacy policy. Th</w:t>
      </w:r>
      <w:r w:rsidR="003251B9" w:rsidRPr="00402974">
        <w:rPr>
          <w:color w:val="4472C4" w:themeColor="accent1"/>
          <w:u w:val="single"/>
        </w:rPr>
        <w:t>is</w:t>
      </w:r>
      <w:r w:rsidRPr="00402974">
        <w:rPr>
          <w:color w:val="4472C4" w:themeColor="accent1"/>
          <w:u w:val="single"/>
        </w:rPr>
        <w:t xml:space="preserve"> privacy policy shall clearly answer</w:t>
      </w:r>
      <w:r w:rsidR="00B93B94" w:rsidRPr="00402974">
        <w:rPr>
          <w:color w:val="4472C4" w:themeColor="accent1"/>
          <w:u w:val="single"/>
        </w:rPr>
        <w:t xml:space="preserve"> at least</w:t>
      </w:r>
      <w:r w:rsidRPr="00402974">
        <w:rPr>
          <w:color w:val="4472C4" w:themeColor="accent1"/>
          <w:u w:val="single"/>
        </w:rPr>
        <w:t xml:space="preserve"> the following: </w:t>
      </w:r>
    </w:p>
    <w:p w14:paraId="34B05EB7" w14:textId="7BD0F039" w:rsidR="00B6277D" w:rsidRPr="00402974" w:rsidRDefault="00426081" w:rsidP="00A56496">
      <w:pPr>
        <w:pStyle w:val="ListParagraph"/>
        <w:numPr>
          <w:ilvl w:val="1"/>
          <w:numId w:val="2"/>
        </w:numPr>
        <w:ind w:left="1440"/>
        <w:jc w:val="both"/>
        <w:rPr>
          <w:color w:val="4472C4" w:themeColor="accent1"/>
          <w:u w:val="single"/>
        </w:rPr>
      </w:pPr>
      <w:r w:rsidRPr="00402974">
        <w:rPr>
          <w:color w:val="4472C4" w:themeColor="accent1"/>
          <w:u w:val="single"/>
        </w:rPr>
        <w:t xml:space="preserve">What customer </w:t>
      </w:r>
      <w:r w:rsidR="003251B9" w:rsidRPr="00402974">
        <w:rPr>
          <w:color w:val="4472C4" w:themeColor="accent1"/>
          <w:u w:val="single"/>
        </w:rPr>
        <w:t>i</w:t>
      </w:r>
      <w:r w:rsidRPr="00402974">
        <w:rPr>
          <w:color w:val="4472C4" w:themeColor="accent1"/>
          <w:u w:val="single"/>
        </w:rPr>
        <w:t xml:space="preserve">nformation is collected; </w:t>
      </w:r>
    </w:p>
    <w:p w14:paraId="44789AC4" w14:textId="03595FBD" w:rsidR="00B6277D" w:rsidRPr="00402974" w:rsidRDefault="00426081" w:rsidP="00A56496">
      <w:pPr>
        <w:pStyle w:val="ListParagraph"/>
        <w:numPr>
          <w:ilvl w:val="1"/>
          <w:numId w:val="2"/>
        </w:numPr>
        <w:ind w:left="1440"/>
        <w:jc w:val="both"/>
        <w:rPr>
          <w:color w:val="4472C4" w:themeColor="accent1"/>
          <w:u w:val="single"/>
        </w:rPr>
      </w:pPr>
      <w:r w:rsidRPr="00402974">
        <w:rPr>
          <w:color w:val="4472C4" w:themeColor="accent1"/>
          <w:u w:val="single"/>
        </w:rPr>
        <w:t xml:space="preserve">How customer </w:t>
      </w:r>
      <w:r w:rsidR="003251B9" w:rsidRPr="00402974">
        <w:rPr>
          <w:color w:val="4472C4" w:themeColor="accent1"/>
          <w:u w:val="single"/>
        </w:rPr>
        <w:t>i</w:t>
      </w:r>
      <w:r w:rsidRPr="00402974">
        <w:rPr>
          <w:color w:val="4472C4" w:themeColor="accent1"/>
          <w:u w:val="single"/>
        </w:rPr>
        <w:t xml:space="preserve">nformation is collected (e.g., website, billing, usage); </w:t>
      </w:r>
    </w:p>
    <w:p w14:paraId="665E7006" w14:textId="10BE82AD" w:rsidR="00B6277D" w:rsidRPr="00402974" w:rsidRDefault="00426081" w:rsidP="00A56496">
      <w:pPr>
        <w:pStyle w:val="ListParagraph"/>
        <w:numPr>
          <w:ilvl w:val="1"/>
          <w:numId w:val="2"/>
        </w:numPr>
        <w:ind w:left="1440"/>
        <w:jc w:val="both"/>
        <w:rPr>
          <w:color w:val="4472C4" w:themeColor="accent1"/>
          <w:u w:val="single"/>
        </w:rPr>
      </w:pPr>
      <w:r w:rsidRPr="00402974">
        <w:rPr>
          <w:color w:val="4472C4" w:themeColor="accent1"/>
          <w:u w:val="single"/>
        </w:rPr>
        <w:t xml:space="preserve">For what purpose customer </w:t>
      </w:r>
      <w:r w:rsidR="003251B9" w:rsidRPr="00402974">
        <w:rPr>
          <w:color w:val="4472C4" w:themeColor="accent1"/>
          <w:u w:val="single"/>
        </w:rPr>
        <w:t>i</w:t>
      </w:r>
      <w:r w:rsidRPr="00402974">
        <w:rPr>
          <w:color w:val="4472C4" w:themeColor="accent1"/>
          <w:u w:val="single"/>
        </w:rPr>
        <w:t xml:space="preserve">nformation is collected; </w:t>
      </w:r>
    </w:p>
    <w:p w14:paraId="13DCAD06" w14:textId="77777777" w:rsidR="00C13D35" w:rsidRPr="00402974" w:rsidRDefault="00C13D35" w:rsidP="00C13D35">
      <w:pPr>
        <w:pStyle w:val="ListParagraph"/>
        <w:numPr>
          <w:ilvl w:val="1"/>
          <w:numId w:val="2"/>
        </w:numPr>
        <w:ind w:left="1440"/>
        <w:jc w:val="both"/>
        <w:rPr>
          <w:color w:val="4472C4" w:themeColor="accent1"/>
          <w:u w:val="single"/>
        </w:rPr>
      </w:pPr>
      <w:r w:rsidRPr="00402974">
        <w:rPr>
          <w:color w:val="4472C4" w:themeColor="accent1"/>
          <w:u w:val="single"/>
        </w:rPr>
        <w:t>When customer information is collected;</w:t>
      </w:r>
    </w:p>
    <w:p w14:paraId="4169DF21" w14:textId="77777777" w:rsidR="00C13D35" w:rsidRPr="00402974" w:rsidRDefault="00C13D35" w:rsidP="00C13D35">
      <w:pPr>
        <w:pStyle w:val="ListParagraph"/>
        <w:numPr>
          <w:ilvl w:val="1"/>
          <w:numId w:val="2"/>
        </w:numPr>
        <w:ind w:left="1440"/>
        <w:jc w:val="both"/>
        <w:rPr>
          <w:color w:val="4472C4" w:themeColor="accent1"/>
          <w:u w:val="single"/>
        </w:rPr>
      </w:pPr>
      <w:r w:rsidRPr="00402974">
        <w:rPr>
          <w:color w:val="4472C4" w:themeColor="accent1"/>
          <w:u w:val="single"/>
        </w:rPr>
        <w:t>Where collected customer information is stored;</w:t>
      </w:r>
    </w:p>
    <w:p w14:paraId="1E853B95" w14:textId="6ED898DD" w:rsidR="00C13D35" w:rsidRPr="00402974" w:rsidRDefault="00426081" w:rsidP="00A56496">
      <w:pPr>
        <w:pStyle w:val="ListParagraph"/>
        <w:numPr>
          <w:ilvl w:val="1"/>
          <w:numId w:val="2"/>
        </w:numPr>
        <w:ind w:left="1440"/>
        <w:jc w:val="both"/>
        <w:rPr>
          <w:color w:val="4472C4" w:themeColor="accent1"/>
          <w:u w:val="single"/>
        </w:rPr>
      </w:pPr>
      <w:r w:rsidRPr="00402974">
        <w:rPr>
          <w:color w:val="4472C4" w:themeColor="accent1"/>
          <w:u w:val="single"/>
        </w:rPr>
        <w:t xml:space="preserve">How the customer </w:t>
      </w:r>
      <w:r w:rsidR="003251B9" w:rsidRPr="00402974">
        <w:rPr>
          <w:color w:val="4472C4" w:themeColor="accent1"/>
          <w:u w:val="single"/>
        </w:rPr>
        <w:t>i</w:t>
      </w:r>
      <w:r w:rsidRPr="00402974">
        <w:rPr>
          <w:color w:val="4472C4" w:themeColor="accent1"/>
          <w:u w:val="single"/>
        </w:rPr>
        <w:t xml:space="preserve">nformation is used; </w:t>
      </w:r>
    </w:p>
    <w:p w14:paraId="141951DC" w14:textId="3C0A00A5" w:rsidR="00A7582B" w:rsidRPr="00402974" w:rsidRDefault="00A7582B" w:rsidP="00A7582B">
      <w:pPr>
        <w:pStyle w:val="ListParagraph"/>
        <w:numPr>
          <w:ilvl w:val="1"/>
          <w:numId w:val="2"/>
        </w:numPr>
        <w:ind w:left="1440"/>
        <w:jc w:val="both"/>
        <w:rPr>
          <w:color w:val="4472C4" w:themeColor="accent1"/>
          <w:u w:val="single"/>
        </w:rPr>
      </w:pPr>
      <w:r w:rsidRPr="00402974">
        <w:rPr>
          <w:color w:val="4472C4" w:themeColor="accent1"/>
          <w:u w:val="single"/>
        </w:rPr>
        <w:t xml:space="preserve">How long a covered utility retains any customer information; </w:t>
      </w:r>
    </w:p>
    <w:p w14:paraId="4E96ECC4" w14:textId="04153762" w:rsidR="00B6277D" w:rsidRPr="00402974" w:rsidRDefault="00426081" w:rsidP="00A56496">
      <w:pPr>
        <w:pStyle w:val="ListParagraph"/>
        <w:numPr>
          <w:ilvl w:val="1"/>
          <w:numId w:val="2"/>
        </w:numPr>
        <w:ind w:left="1440"/>
        <w:jc w:val="both"/>
        <w:rPr>
          <w:color w:val="4472C4" w:themeColor="accent1"/>
          <w:u w:val="single"/>
        </w:rPr>
      </w:pPr>
      <w:r w:rsidRPr="00402974">
        <w:rPr>
          <w:color w:val="4472C4" w:themeColor="accent1"/>
          <w:u w:val="single"/>
        </w:rPr>
        <w:t xml:space="preserve">What </w:t>
      </w:r>
      <w:r w:rsidR="003251B9" w:rsidRPr="00402974">
        <w:rPr>
          <w:color w:val="4472C4" w:themeColor="accent1"/>
          <w:u w:val="single"/>
        </w:rPr>
        <w:t>i</w:t>
      </w:r>
      <w:r w:rsidRPr="00402974">
        <w:rPr>
          <w:color w:val="4472C4" w:themeColor="accent1"/>
          <w:u w:val="single"/>
        </w:rPr>
        <w:t xml:space="preserve">nformation may be disclosed without customer </w:t>
      </w:r>
      <w:r w:rsidR="003251B9" w:rsidRPr="00402974">
        <w:rPr>
          <w:color w:val="4472C4" w:themeColor="accent1"/>
          <w:u w:val="single"/>
        </w:rPr>
        <w:t>c</w:t>
      </w:r>
      <w:r w:rsidRPr="00402974">
        <w:rPr>
          <w:color w:val="4472C4" w:themeColor="accent1"/>
          <w:u w:val="single"/>
        </w:rPr>
        <w:t>onsent</w:t>
      </w:r>
      <w:r w:rsidR="00E71B47" w:rsidRPr="00402974">
        <w:rPr>
          <w:color w:val="4472C4" w:themeColor="accent1"/>
          <w:u w:val="single"/>
        </w:rPr>
        <w:t>, if any</w:t>
      </w:r>
      <w:r w:rsidRPr="00402974">
        <w:rPr>
          <w:color w:val="4472C4" w:themeColor="accent1"/>
          <w:u w:val="single"/>
        </w:rPr>
        <w:t xml:space="preserve">; </w:t>
      </w:r>
    </w:p>
    <w:p w14:paraId="29C3DE1C" w14:textId="62F92E6C" w:rsidR="00B6277D" w:rsidRPr="00402974" w:rsidRDefault="00426081" w:rsidP="00A56496">
      <w:pPr>
        <w:pStyle w:val="ListParagraph"/>
        <w:numPr>
          <w:ilvl w:val="1"/>
          <w:numId w:val="2"/>
        </w:numPr>
        <w:ind w:left="1440"/>
        <w:jc w:val="both"/>
        <w:rPr>
          <w:color w:val="4472C4" w:themeColor="accent1"/>
          <w:u w:val="single"/>
        </w:rPr>
      </w:pPr>
      <w:r w:rsidRPr="00402974">
        <w:rPr>
          <w:color w:val="4472C4" w:themeColor="accent1"/>
          <w:u w:val="single"/>
        </w:rPr>
        <w:t xml:space="preserve">How a customer may withdraw previously provided </w:t>
      </w:r>
      <w:r w:rsidR="003251B9" w:rsidRPr="00402974">
        <w:rPr>
          <w:color w:val="4472C4" w:themeColor="accent1"/>
          <w:u w:val="single"/>
        </w:rPr>
        <w:t>c</w:t>
      </w:r>
      <w:r w:rsidRPr="00402974">
        <w:rPr>
          <w:color w:val="4472C4" w:themeColor="accent1"/>
          <w:u w:val="single"/>
        </w:rPr>
        <w:t xml:space="preserve">onsent; </w:t>
      </w:r>
    </w:p>
    <w:p w14:paraId="2F84983A" w14:textId="5C555DC1" w:rsidR="00B6277D" w:rsidRPr="00402974" w:rsidRDefault="002F59C3" w:rsidP="00A56496">
      <w:pPr>
        <w:pStyle w:val="ListParagraph"/>
        <w:numPr>
          <w:ilvl w:val="1"/>
          <w:numId w:val="2"/>
        </w:numPr>
        <w:ind w:left="1440"/>
        <w:jc w:val="both"/>
        <w:rPr>
          <w:color w:val="4472C4" w:themeColor="accent1"/>
          <w:u w:val="single"/>
        </w:rPr>
      </w:pPr>
      <w:commentRangeStart w:id="2"/>
      <w:r w:rsidRPr="00402974">
        <w:rPr>
          <w:color w:val="4472C4" w:themeColor="accent1"/>
          <w:u w:val="single"/>
        </w:rPr>
        <w:t>A list of the specific</w:t>
      </w:r>
      <w:r w:rsidR="00426081" w:rsidRPr="00402974">
        <w:rPr>
          <w:color w:val="4472C4" w:themeColor="accent1"/>
          <w:u w:val="single"/>
        </w:rPr>
        <w:t xml:space="preserve"> affiliated </w:t>
      </w:r>
      <w:commentRangeEnd w:id="2"/>
      <w:r w:rsidR="00160D3F" w:rsidRPr="00402974">
        <w:rPr>
          <w:rStyle w:val="CommentReference"/>
          <w:u w:val="single"/>
        </w:rPr>
        <w:commentReference w:id="2"/>
      </w:r>
      <w:r w:rsidR="00426081" w:rsidRPr="00402974">
        <w:rPr>
          <w:color w:val="4472C4" w:themeColor="accent1"/>
          <w:u w:val="single"/>
        </w:rPr>
        <w:t xml:space="preserve">or nonaffiliated third-party person or entities </w:t>
      </w:r>
      <w:r w:rsidRPr="00402974">
        <w:rPr>
          <w:color w:val="4472C4" w:themeColor="accent1"/>
          <w:u w:val="single"/>
        </w:rPr>
        <w:t xml:space="preserve">that </w:t>
      </w:r>
      <w:r w:rsidR="00426081" w:rsidRPr="00402974">
        <w:rPr>
          <w:color w:val="4472C4" w:themeColor="accent1"/>
          <w:u w:val="single"/>
        </w:rPr>
        <w:t xml:space="preserve">have contracted with the </w:t>
      </w:r>
      <w:r w:rsidR="003251B9" w:rsidRPr="00402974">
        <w:rPr>
          <w:color w:val="4472C4" w:themeColor="accent1"/>
          <w:u w:val="single"/>
        </w:rPr>
        <w:t>u</w:t>
      </w:r>
      <w:r w:rsidR="00426081" w:rsidRPr="00402974">
        <w:rPr>
          <w:color w:val="4472C4" w:themeColor="accent1"/>
          <w:u w:val="single"/>
        </w:rPr>
        <w:t xml:space="preserve">tility to receive customer </w:t>
      </w:r>
      <w:r w:rsidR="003251B9" w:rsidRPr="00402974">
        <w:rPr>
          <w:color w:val="4472C4" w:themeColor="accent1"/>
          <w:u w:val="single"/>
        </w:rPr>
        <w:t>i</w:t>
      </w:r>
      <w:r w:rsidR="00426081" w:rsidRPr="00402974">
        <w:rPr>
          <w:color w:val="4472C4" w:themeColor="accent1"/>
          <w:u w:val="single"/>
        </w:rPr>
        <w:t xml:space="preserve">nformation, </w:t>
      </w:r>
      <w:r w:rsidR="005A0316" w:rsidRPr="00402974">
        <w:rPr>
          <w:color w:val="4472C4" w:themeColor="accent1"/>
          <w:u w:val="single"/>
        </w:rPr>
        <w:t xml:space="preserve">its relationship with the utility (whether affiliated or not), </w:t>
      </w:r>
      <w:r w:rsidR="00426081" w:rsidRPr="00402974">
        <w:rPr>
          <w:color w:val="4472C4" w:themeColor="accent1"/>
          <w:u w:val="single"/>
        </w:rPr>
        <w:t xml:space="preserve">the type of customer </w:t>
      </w:r>
      <w:r w:rsidR="003251B9" w:rsidRPr="00402974">
        <w:rPr>
          <w:color w:val="4472C4" w:themeColor="accent1"/>
          <w:u w:val="single"/>
        </w:rPr>
        <w:t>i</w:t>
      </w:r>
      <w:r w:rsidR="00426081" w:rsidRPr="00402974">
        <w:rPr>
          <w:color w:val="4472C4" w:themeColor="accent1"/>
          <w:u w:val="single"/>
        </w:rPr>
        <w:t xml:space="preserve">nformation being shared, if any, and what safeguards the </w:t>
      </w:r>
      <w:r w:rsidR="003251B9" w:rsidRPr="00402974">
        <w:rPr>
          <w:color w:val="4472C4" w:themeColor="accent1"/>
          <w:u w:val="single"/>
        </w:rPr>
        <w:t>u</w:t>
      </w:r>
      <w:r w:rsidR="00426081" w:rsidRPr="00402974">
        <w:rPr>
          <w:color w:val="4472C4" w:themeColor="accent1"/>
          <w:u w:val="single"/>
        </w:rPr>
        <w:t xml:space="preserve">tility is utilizing to protect customer </w:t>
      </w:r>
      <w:r w:rsidR="003251B9" w:rsidRPr="00402974">
        <w:rPr>
          <w:color w:val="4472C4" w:themeColor="accent1"/>
          <w:u w:val="single"/>
        </w:rPr>
        <w:t>i</w:t>
      </w:r>
      <w:r w:rsidR="00426081" w:rsidRPr="00402974">
        <w:rPr>
          <w:color w:val="4472C4" w:themeColor="accent1"/>
          <w:u w:val="single"/>
        </w:rPr>
        <w:t>nformation from inadvertent disclosure while contracting with an affiliate or nonaffiliated third</w:t>
      </w:r>
      <w:r w:rsidR="00B93B94" w:rsidRPr="00402974">
        <w:rPr>
          <w:color w:val="4472C4" w:themeColor="accent1"/>
          <w:u w:val="single"/>
        </w:rPr>
        <w:t>-</w:t>
      </w:r>
      <w:r w:rsidR="00426081" w:rsidRPr="00402974">
        <w:rPr>
          <w:color w:val="4472C4" w:themeColor="accent1"/>
          <w:u w:val="single"/>
        </w:rPr>
        <w:t xml:space="preserve">party; </w:t>
      </w:r>
    </w:p>
    <w:p w14:paraId="64127379" w14:textId="790C8889" w:rsidR="005A0316" w:rsidRPr="00402974" w:rsidRDefault="005A0316" w:rsidP="00A56496">
      <w:pPr>
        <w:pStyle w:val="ListParagraph"/>
        <w:numPr>
          <w:ilvl w:val="1"/>
          <w:numId w:val="2"/>
        </w:numPr>
        <w:ind w:left="1440"/>
        <w:jc w:val="both"/>
        <w:rPr>
          <w:u w:val="single"/>
        </w:rPr>
      </w:pPr>
      <w:r w:rsidRPr="00402974">
        <w:rPr>
          <w:color w:val="4472C4" w:themeColor="accent1"/>
          <w:u w:val="single"/>
        </w:rPr>
        <w:t xml:space="preserve">The specific procedures and safeguards that prevent any customer information from being transmitted to unregulated utility affiliates without explicit customer consent; </w:t>
      </w:r>
    </w:p>
    <w:p w14:paraId="7C41D042" w14:textId="68A5C9E8" w:rsidR="00B6277D" w:rsidRPr="00402974" w:rsidRDefault="00426081" w:rsidP="00A56496">
      <w:pPr>
        <w:pStyle w:val="ListParagraph"/>
        <w:numPr>
          <w:ilvl w:val="1"/>
          <w:numId w:val="2"/>
        </w:numPr>
        <w:ind w:left="1440"/>
        <w:jc w:val="both"/>
        <w:rPr>
          <w:color w:val="4472C4" w:themeColor="accent1"/>
          <w:u w:val="single"/>
        </w:rPr>
      </w:pPr>
      <w:r w:rsidRPr="00402974">
        <w:rPr>
          <w:color w:val="4472C4" w:themeColor="accent1"/>
          <w:u w:val="single"/>
        </w:rPr>
        <w:lastRenderedPageBreak/>
        <w:t>Whether customers may review</w:t>
      </w:r>
      <w:r w:rsidR="00A01A3E" w:rsidRPr="00402974">
        <w:rPr>
          <w:color w:val="4472C4" w:themeColor="accent1"/>
          <w:u w:val="single"/>
        </w:rPr>
        <w:t>,</w:t>
      </w:r>
      <w:r w:rsidRPr="00402974">
        <w:rPr>
          <w:color w:val="4472C4" w:themeColor="accent1"/>
          <w:u w:val="single"/>
        </w:rPr>
        <w:t xml:space="preserve"> correct</w:t>
      </w:r>
      <w:r w:rsidR="00A01A3E" w:rsidRPr="00402974">
        <w:rPr>
          <w:color w:val="4472C4" w:themeColor="accent1"/>
          <w:u w:val="single"/>
        </w:rPr>
        <w:t xml:space="preserve">, or </w:t>
      </w:r>
      <w:r w:rsidR="00B34933" w:rsidRPr="00402974">
        <w:rPr>
          <w:color w:val="4472C4" w:themeColor="accent1"/>
          <w:u w:val="single"/>
        </w:rPr>
        <w:t>eliminate</w:t>
      </w:r>
      <w:r w:rsidRPr="00402974">
        <w:rPr>
          <w:color w:val="4472C4" w:themeColor="accent1"/>
          <w:u w:val="single"/>
        </w:rPr>
        <w:t xml:space="preserve"> customer </w:t>
      </w:r>
      <w:r w:rsidR="003251B9" w:rsidRPr="00402974">
        <w:rPr>
          <w:color w:val="4472C4" w:themeColor="accent1"/>
          <w:u w:val="single"/>
        </w:rPr>
        <w:t>i</w:t>
      </w:r>
      <w:r w:rsidRPr="00402974">
        <w:rPr>
          <w:color w:val="4472C4" w:themeColor="accent1"/>
          <w:u w:val="single"/>
        </w:rPr>
        <w:t xml:space="preserve">nformation; </w:t>
      </w:r>
    </w:p>
    <w:p w14:paraId="205DD590" w14:textId="24907C7B" w:rsidR="00B6277D" w:rsidRPr="00402974" w:rsidRDefault="00426081" w:rsidP="00A56496">
      <w:pPr>
        <w:pStyle w:val="ListParagraph"/>
        <w:numPr>
          <w:ilvl w:val="1"/>
          <w:numId w:val="2"/>
        </w:numPr>
        <w:ind w:left="1440"/>
        <w:jc w:val="both"/>
        <w:rPr>
          <w:color w:val="4472C4" w:themeColor="accent1"/>
          <w:u w:val="single"/>
        </w:rPr>
      </w:pPr>
      <w:r w:rsidRPr="00402974">
        <w:rPr>
          <w:color w:val="4472C4" w:themeColor="accent1"/>
          <w:u w:val="single"/>
        </w:rPr>
        <w:t xml:space="preserve">What security measures are used to protect customer </w:t>
      </w:r>
      <w:r w:rsidR="003251B9" w:rsidRPr="00402974">
        <w:rPr>
          <w:color w:val="4472C4" w:themeColor="accent1"/>
          <w:u w:val="single"/>
        </w:rPr>
        <w:t>i</w:t>
      </w:r>
      <w:r w:rsidRPr="00402974">
        <w:rPr>
          <w:color w:val="4472C4" w:themeColor="accent1"/>
          <w:u w:val="single"/>
        </w:rPr>
        <w:t xml:space="preserve">nformation; </w:t>
      </w:r>
    </w:p>
    <w:p w14:paraId="574C8067" w14:textId="00692EE2" w:rsidR="00B6277D" w:rsidRPr="00402974" w:rsidRDefault="00426081" w:rsidP="00A56496">
      <w:pPr>
        <w:pStyle w:val="ListParagraph"/>
        <w:numPr>
          <w:ilvl w:val="1"/>
          <w:numId w:val="2"/>
        </w:numPr>
        <w:ind w:left="1440"/>
        <w:jc w:val="both"/>
        <w:rPr>
          <w:color w:val="4472C4" w:themeColor="accent1"/>
          <w:u w:val="single"/>
        </w:rPr>
      </w:pPr>
      <w:r w:rsidRPr="00402974">
        <w:rPr>
          <w:color w:val="4472C4" w:themeColor="accent1"/>
          <w:u w:val="single"/>
        </w:rPr>
        <w:t xml:space="preserve">The </w:t>
      </w:r>
      <w:r w:rsidR="00A7582B" w:rsidRPr="00402974">
        <w:rPr>
          <w:color w:val="4472C4" w:themeColor="accent1"/>
          <w:u w:val="single"/>
        </w:rPr>
        <w:t xml:space="preserve">term for which </w:t>
      </w:r>
      <w:r w:rsidR="00A01A3E" w:rsidRPr="00402974">
        <w:rPr>
          <w:color w:val="4472C4" w:themeColor="accent1"/>
          <w:u w:val="single"/>
        </w:rPr>
        <w:t>the</w:t>
      </w:r>
      <w:r w:rsidRPr="00402974">
        <w:rPr>
          <w:color w:val="4472C4" w:themeColor="accent1"/>
          <w:u w:val="single"/>
        </w:rPr>
        <w:t xml:space="preserve"> privacy policy</w:t>
      </w:r>
      <w:r w:rsidR="00A7582B" w:rsidRPr="00402974">
        <w:rPr>
          <w:color w:val="4472C4" w:themeColor="accent1"/>
          <w:u w:val="single"/>
        </w:rPr>
        <w:t xml:space="preserve"> will be in effect</w:t>
      </w:r>
      <w:r w:rsidRPr="00402974">
        <w:rPr>
          <w:color w:val="4472C4" w:themeColor="accent1"/>
          <w:u w:val="single"/>
        </w:rPr>
        <w:t xml:space="preserve">; </w:t>
      </w:r>
    </w:p>
    <w:p w14:paraId="4284D758" w14:textId="025122ED" w:rsidR="00B6277D" w:rsidRPr="00402974" w:rsidRDefault="00426081" w:rsidP="00A56496">
      <w:pPr>
        <w:pStyle w:val="ListParagraph"/>
        <w:numPr>
          <w:ilvl w:val="1"/>
          <w:numId w:val="2"/>
        </w:numPr>
        <w:ind w:left="1440"/>
        <w:jc w:val="both"/>
        <w:rPr>
          <w:color w:val="4472C4" w:themeColor="accent1"/>
          <w:u w:val="single"/>
        </w:rPr>
      </w:pPr>
      <w:r w:rsidRPr="00402974">
        <w:rPr>
          <w:color w:val="4472C4" w:themeColor="accent1"/>
          <w:u w:val="single"/>
        </w:rPr>
        <w:t xml:space="preserve">How updates to the privacy policy are to be announced; </w:t>
      </w:r>
    </w:p>
    <w:p w14:paraId="16DF7526" w14:textId="26D6CFD5" w:rsidR="00B6277D" w:rsidRPr="00402974" w:rsidRDefault="00426081" w:rsidP="00A56496">
      <w:pPr>
        <w:pStyle w:val="ListParagraph"/>
        <w:numPr>
          <w:ilvl w:val="1"/>
          <w:numId w:val="2"/>
        </w:numPr>
        <w:ind w:left="1440"/>
        <w:jc w:val="both"/>
        <w:rPr>
          <w:color w:val="4472C4" w:themeColor="accent1"/>
          <w:u w:val="single"/>
        </w:rPr>
      </w:pPr>
      <w:r w:rsidRPr="00402974">
        <w:rPr>
          <w:color w:val="4472C4" w:themeColor="accent1"/>
          <w:u w:val="single"/>
        </w:rPr>
        <w:t xml:space="preserve">How customers can share their </w:t>
      </w:r>
      <w:r w:rsidR="003251B9" w:rsidRPr="00402974">
        <w:rPr>
          <w:color w:val="4472C4" w:themeColor="accent1"/>
          <w:u w:val="single"/>
        </w:rPr>
        <w:t>i</w:t>
      </w:r>
      <w:r w:rsidRPr="00402974">
        <w:rPr>
          <w:color w:val="4472C4" w:themeColor="accent1"/>
          <w:u w:val="single"/>
        </w:rPr>
        <w:t>nformation</w:t>
      </w:r>
      <w:r w:rsidR="005A0316" w:rsidRPr="00402974">
        <w:rPr>
          <w:color w:val="4472C4" w:themeColor="accent1"/>
          <w:u w:val="single"/>
        </w:rPr>
        <w:t xml:space="preserve">, </w:t>
      </w:r>
      <w:commentRangeStart w:id="3"/>
      <w:r w:rsidR="005A0316" w:rsidRPr="00402974">
        <w:rPr>
          <w:color w:val="4472C4" w:themeColor="accent1"/>
          <w:u w:val="single"/>
        </w:rPr>
        <w:t>breaking out the methods by customer class</w:t>
      </w:r>
      <w:r w:rsidRPr="00402974">
        <w:rPr>
          <w:color w:val="4472C4" w:themeColor="accent1"/>
          <w:u w:val="single"/>
        </w:rPr>
        <w:t xml:space="preserve">; </w:t>
      </w:r>
      <w:commentRangeEnd w:id="3"/>
      <w:r w:rsidR="00160D3F" w:rsidRPr="00402974">
        <w:rPr>
          <w:rStyle w:val="CommentReference"/>
          <w:u w:val="single"/>
        </w:rPr>
        <w:commentReference w:id="3"/>
      </w:r>
    </w:p>
    <w:p w14:paraId="49915D4A" w14:textId="352305A3" w:rsidR="00B6277D" w:rsidRPr="00402974" w:rsidRDefault="00426081" w:rsidP="00A56496">
      <w:pPr>
        <w:pStyle w:val="ListParagraph"/>
        <w:numPr>
          <w:ilvl w:val="1"/>
          <w:numId w:val="2"/>
        </w:numPr>
        <w:ind w:left="1440"/>
        <w:jc w:val="both"/>
        <w:rPr>
          <w:color w:val="4472C4" w:themeColor="accent1"/>
          <w:u w:val="single"/>
        </w:rPr>
      </w:pPr>
      <w:r w:rsidRPr="00402974">
        <w:rPr>
          <w:color w:val="4472C4" w:themeColor="accent1"/>
          <w:u w:val="single"/>
        </w:rPr>
        <w:t xml:space="preserve">The policies in place to ensure that all customers are protected from unauthorized use or disclosure by the </w:t>
      </w:r>
      <w:r w:rsidR="003251B9" w:rsidRPr="00402974">
        <w:rPr>
          <w:color w:val="4472C4" w:themeColor="accent1"/>
          <w:u w:val="single"/>
        </w:rPr>
        <w:t>u</w:t>
      </w:r>
      <w:r w:rsidRPr="00402974">
        <w:rPr>
          <w:color w:val="4472C4" w:themeColor="accent1"/>
          <w:u w:val="single"/>
        </w:rPr>
        <w:t xml:space="preserve">tility, its affiliates, contractors or subcontractors; </w:t>
      </w:r>
      <w:r w:rsidR="00A7582B" w:rsidRPr="00402974">
        <w:rPr>
          <w:color w:val="4472C4" w:themeColor="accent1"/>
          <w:u w:val="single"/>
        </w:rPr>
        <w:t>and</w:t>
      </w:r>
    </w:p>
    <w:p w14:paraId="76364A99" w14:textId="017D79D6" w:rsidR="00426081" w:rsidRPr="00402974" w:rsidRDefault="00426081" w:rsidP="00160D3F">
      <w:pPr>
        <w:pStyle w:val="ListParagraph"/>
        <w:numPr>
          <w:ilvl w:val="1"/>
          <w:numId w:val="2"/>
        </w:numPr>
        <w:ind w:left="1440"/>
        <w:jc w:val="both"/>
        <w:rPr>
          <w:color w:val="4472C4" w:themeColor="accent1"/>
          <w:u w:val="single"/>
        </w:rPr>
      </w:pPr>
      <w:r w:rsidRPr="00402974">
        <w:rPr>
          <w:color w:val="4472C4" w:themeColor="accent1"/>
          <w:u w:val="single"/>
        </w:rPr>
        <w:t xml:space="preserve">Whether the </w:t>
      </w:r>
      <w:r w:rsidR="003251B9" w:rsidRPr="00402974">
        <w:rPr>
          <w:color w:val="4472C4" w:themeColor="accent1"/>
          <w:u w:val="single"/>
        </w:rPr>
        <w:t>u</w:t>
      </w:r>
      <w:r w:rsidRPr="00402974">
        <w:rPr>
          <w:color w:val="4472C4" w:themeColor="accent1"/>
          <w:u w:val="single"/>
        </w:rPr>
        <w:t>tility undergoes periodic independent third-party privacy impact assessments.</w:t>
      </w:r>
    </w:p>
    <w:p w14:paraId="40839DDC" w14:textId="02DE08E9" w:rsidR="008D42E6" w:rsidRPr="00160D3F" w:rsidRDefault="008D42E6" w:rsidP="00286A71">
      <w:pPr>
        <w:jc w:val="both"/>
      </w:pPr>
    </w:p>
    <w:p w14:paraId="4DE389E7" w14:textId="77777777" w:rsidR="008D47A0" w:rsidRPr="008D47A0" w:rsidRDefault="008D47A0" w:rsidP="008D47A0">
      <w:pPr>
        <w:jc w:val="both"/>
        <w:rPr>
          <w:i/>
          <w:iCs/>
        </w:rPr>
      </w:pPr>
      <w:r w:rsidRPr="00160D3F">
        <w:rPr>
          <w:i/>
          <w:iCs/>
        </w:rPr>
        <w:t>AUTHORITY: sections 386.250 and 393.140, RSMo 2016. Original rule filed Sept. 25, 2024.</w:t>
      </w:r>
    </w:p>
    <w:p w14:paraId="63AFACEB" w14:textId="23F64366" w:rsidR="008D42E6" w:rsidRPr="008D42E6" w:rsidRDefault="008D42E6" w:rsidP="00286A71">
      <w:pPr>
        <w:jc w:val="both"/>
        <w:rPr>
          <w:i/>
          <w:iCs/>
        </w:rPr>
      </w:pPr>
    </w:p>
    <w:p w14:paraId="6CF38926" w14:textId="77777777" w:rsidR="008D42E6" w:rsidRPr="008D42E6" w:rsidRDefault="008D42E6" w:rsidP="00CE2F82">
      <w:pPr>
        <w:ind w:firstLine="720"/>
        <w:jc w:val="both"/>
      </w:pPr>
    </w:p>
    <w:sectPr w:rsidR="008D42E6" w:rsidRPr="008D42E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Renew Missouri" w:date="2024-11-27T12:03:00Z" w:initials="RM">
    <w:p w14:paraId="5AB8F393" w14:textId="77777777" w:rsidR="00160D3F" w:rsidRDefault="00160D3F" w:rsidP="00160D3F">
      <w:r>
        <w:rPr>
          <w:rStyle w:val="CommentReference"/>
        </w:rPr>
        <w:annotationRef/>
      </w:r>
      <w:r>
        <w:rPr>
          <w:color w:val="000000"/>
          <w:sz w:val="20"/>
        </w:rPr>
        <w:t xml:space="preserve">Renew Missouri’s aggregation standards, if one must be defined, come from best practices, found in </w:t>
      </w:r>
      <w:hyperlink r:id="rId1" w:history="1">
        <w:r w:rsidRPr="00236133">
          <w:rPr>
            <w:rStyle w:val="Hyperlink"/>
            <w:sz w:val="20"/>
          </w:rPr>
          <w:t>https://imt.org/wp-content/uploads/2023/07/IMT-Benchmarking-Matrix-July-2024.pdf</w:t>
        </w:r>
      </w:hyperlink>
    </w:p>
    <w:p w14:paraId="046532A9" w14:textId="77777777" w:rsidR="00160D3F" w:rsidRDefault="00160D3F" w:rsidP="00160D3F"/>
    <w:p w14:paraId="39553238" w14:textId="77777777" w:rsidR="00160D3F" w:rsidRDefault="00160D3F" w:rsidP="00160D3F">
      <w:r>
        <w:rPr>
          <w:color w:val="000000"/>
          <w:sz w:val="20"/>
        </w:rPr>
        <w:t xml:space="preserve">This allows city governments in Missouri to achieve benchmarking and energy disclosure goals. The minimum of 5 dwelling units is more than enough mask the energy usage of individual tenants.  Further, the 5 unit minimum should apply to the entire property, which may include several buildings with less than 5 units each. </w:t>
      </w:r>
    </w:p>
    <w:p w14:paraId="5B2686DF" w14:textId="77777777" w:rsidR="00160D3F" w:rsidRDefault="00160D3F" w:rsidP="00160D3F"/>
  </w:comment>
  <w:comment w:id="1" w:author="Renew Missouri" w:date="2024-11-27T11:53:00Z" w:initials="RM">
    <w:p w14:paraId="780B0092" w14:textId="512100FF" w:rsidR="00160D3F" w:rsidRDefault="00160D3F" w:rsidP="00160D3F">
      <w:r>
        <w:rPr>
          <w:rStyle w:val="CommentReference"/>
        </w:rPr>
        <w:annotationRef/>
      </w:r>
      <w:r>
        <w:rPr>
          <w:sz w:val="20"/>
        </w:rPr>
        <w:t>Renew Missouri believes that allowing data to be used until consent is revoked will help further the work of not for profits during energy burden work, as well as the third party demand aggregators, allowed to operate under FERC Order 2222. This is used by demand response providers, for example, where you don’t know how long the engagement will last. For third party providers, accessing the data involves a process that is often extremely onerous, and so limiting the data-sharing to 12 months, for example, would be burdensome. Most other states support “valid until rescinded.”</w:t>
      </w:r>
      <w:r>
        <w:rPr>
          <w:sz w:val="20"/>
        </w:rPr>
        <w:cr/>
      </w:r>
    </w:p>
  </w:comment>
  <w:comment w:id="2" w:author="Renew Missouri" w:date="2024-11-27T12:05:00Z" w:initials="RM">
    <w:p w14:paraId="4D26CD50" w14:textId="77777777" w:rsidR="00160D3F" w:rsidRDefault="00160D3F" w:rsidP="00160D3F">
      <w:r>
        <w:rPr>
          <w:rStyle w:val="CommentReference"/>
        </w:rPr>
        <w:annotationRef/>
      </w:r>
      <w:r>
        <w:rPr>
          <w:sz w:val="20"/>
        </w:rPr>
        <w:t xml:space="preserve">The Michigan PSC implements this requirement and it’s step one toward making a “data inventory” of who has what, an important starting point. This allows customers to have more trust in who has access to their data, and allows for greater transparency. </w:t>
      </w:r>
    </w:p>
  </w:comment>
  <w:comment w:id="3" w:author="Renew Missouri" w:date="2024-11-27T12:05:00Z" w:initials="RM">
    <w:p w14:paraId="2B18401A" w14:textId="77777777" w:rsidR="00402974" w:rsidRDefault="00160D3F" w:rsidP="00402974">
      <w:r>
        <w:rPr>
          <w:rStyle w:val="CommentReference"/>
        </w:rPr>
        <w:annotationRef/>
      </w:r>
      <w:r w:rsidR="00402974">
        <w:rPr>
          <w:sz w:val="20"/>
        </w:rPr>
        <w:t>Commercial and industrial customers often have a separate, preexisting data-sharing pathway as compared to residential, so it would be good to have this articulated clearly.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B2686DF" w15:done="0"/>
  <w15:commentEx w15:paraId="780B0092" w15:done="0"/>
  <w15:commentEx w15:paraId="4D26CD50" w15:done="0"/>
  <w15:commentEx w15:paraId="2B1840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CD2309F" w16cex:dateUtc="2024-11-27T18:03:00Z"/>
  <w16cex:commentExtensible w16cex:durableId="2101DA6C" w16cex:dateUtc="2024-11-27T17:53:00Z"/>
  <w16cex:commentExtensible w16cex:durableId="2673E543" w16cex:dateUtc="2024-11-27T18:05:00Z"/>
  <w16cex:commentExtensible w16cex:durableId="2688CFEC" w16cex:dateUtc="2024-11-27T18: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B2686DF" w16cid:durableId="6CD2309F"/>
  <w16cid:commentId w16cid:paraId="780B0092" w16cid:durableId="2101DA6C"/>
  <w16cid:commentId w16cid:paraId="4D26CD50" w16cid:durableId="2673E543"/>
  <w16cid:commentId w16cid:paraId="2B18401A" w16cid:durableId="2688CFE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900E3"/>
    <w:multiLevelType w:val="hybridMultilevel"/>
    <w:tmpl w:val="F4F8693C"/>
    <w:lvl w:ilvl="0" w:tplc="DEA27BA4">
      <w:start w:val="1"/>
      <w:numFmt w:val="upperLetter"/>
      <w:lvlText w:val="(%1)"/>
      <w:lvlJc w:val="left"/>
      <w:pPr>
        <w:ind w:left="1080" w:hanging="360"/>
      </w:pPr>
      <w:rPr>
        <w:rFonts w:hint="default"/>
      </w:rPr>
    </w:lvl>
    <w:lvl w:ilvl="1" w:tplc="8924991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5D79D6"/>
    <w:multiLevelType w:val="hybridMultilevel"/>
    <w:tmpl w:val="B30C422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E396261"/>
    <w:multiLevelType w:val="hybridMultilevel"/>
    <w:tmpl w:val="8F6E1516"/>
    <w:lvl w:ilvl="0" w:tplc="4B3003C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283A7D"/>
    <w:multiLevelType w:val="hybridMultilevel"/>
    <w:tmpl w:val="2D50D56A"/>
    <w:lvl w:ilvl="0" w:tplc="57A85AB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27B36D2"/>
    <w:multiLevelType w:val="hybridMultilevel"/>
    <w:tmpl w:val="E66423F6"/>
    <w:lvl w:ilvl="0" w:tplc="EFDC7AD6">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7364938">
    <w:abstractNumId w:val="2"/>
  </w:num>
  <w:num w:numId="2" w16cid:durableId="1637562484">
    <w:abstractNumId w:val="0"/>
  </w:num>
  <w:num w:numId="3" w16cid:durableId="16274855">
    <w:abstractNumId w:val="3"/>
  </w:num>
  <w:num w:numId="4" w16cid:durableId="627514505">
    <w:abstractNumId w:val="4"/>
  </w:num>
  <w:num w:numId="5" w16cid:durableId="78847558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enew Missouri">
    <w15:presenceInfo w15:providerId="Windows Live" w15:userId="5c8f34c966c3f0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4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2E6"/>
    <w:rsid w:val="00005A02"/>
    <w:rsid w:val="00074C45"/>
    <w:rsid w:val="000C1345"/>
    <w:rsid w:val="000D31D5"/>
    <w:rsid w:val="00150E6B"/>
    <w:rsid w:val="00160D3F"/>
    <w:rsid w:val="00172191"/>
    <w:rsid w:val="001853CF"/>
    <w:rsid w:val="00196040"/>
    <w:rsid w:val="001C4681"/>
    <w:rsid w:val="00201CB1"/>
    <w:rsid w:val="0023622F"/>
    <w:rsid w:val="00270E6C"/>
    <w:rsid w:val="0027348A"/>
    <w:rsid w:val="00286A71"/>
    <w:rsid w:val="002A249D"/>
    <w:rsid w:val="002C1FD3"/>
    <w:rsid w:val="002C7C33"/>
    <w:rsid w:val="002D54C6"/>
    <w:rsid w:val="002F59C3"/>
    <w:rsid w:val="003251B9"/>
    <w:rsid w:val="00402974"/>
    <w:rsid w:val="004146D2"/>
    <w:rsid w:val="00426081"/>
    <w:rsid w:val="00447B69"/>
    <w:rsid w:val="004D283F"/>
    <w:rsid w:val="00537180"/>
    <w:rsid w:val="005543DB"/>
    <w:rsid w:val="0058650F"/>
    <w:rsid w:val="005A0316"/>
    <w:rsid w:val="005B6332"/>
    <w:rsid w:val="005F3D43"/>
    <w:rsid w:val="00603E3B"/>
    <w:rsid w:val="00617CAF"/>
    <w:rsid w:val="00681911"/>
    <w:rsid w:val="006826EA"/>
    <w:rsid w:val="006C7D58"/>
    <w:rsid w:val="00700A07"/>
    <w:rsid w:val="007557D4"/>
    <w:rsid w:val="007E5C0D"/>
    <w:rsid w:val="007E7A46"/>
    <w:rsid w:val="008B1F26"/>
    <w:rsid w:val="008D42E6"/>
    <w:rsid w:val="008D47A0"/>
    <w:rsid w:val="00906994"/>
    <w:rsid w:val="00907EDA"/>
    <w:rsid w:val="00991792"/>
    <w:rsid w:val="00A01A3E"/>
    <w:rsid w:val="00A120A9"/>
    <w:rsid w:val="00A129F3"/>
    <w:rsid w:val="00A22AF1"/>
    <w:rsid w:val="00A56496"/>
    <w:rsid w:val="00A7582B"/>
    <w:rsid w:val="00A86118"/>
    <w:rsid w:val="00AA5F29"/>
    <w:rsid w:val="00B34933"/>
    <w:rsid w:val="00B6277D"/>
    <w:rsid w:val="00B65ADC"/>
    <w:rsid w:val="00B93B94"/>
    <w:rsid w:val="00BB6CEB"/>
    <w:rsid w:val="00C13D35"/>
    <w:rsid w:val="00C208EB"/>
    <w:rsid w:val="00C31BB3"/>
    <w:rsid w:val="00C51972"/>
    <w:rsid w:val="00CA7414"/>
    <w:rsid w:val="00CE2F82"/>
    <w:rsid w:val="00D355AC"/>
    <w:rsid w:val="00D70F6C"/>
    <w:rsid w:val="00E71B47"/>
    <w:rsid w:val="00EB7A00"/>
    <w:rsid w:val="00EF7C19"/>
    <w:rsid w:val="00F25596"/>
    <w:rsid w:val="00F614D4"/>
    <w:rsid w:val="00F716DC"/>
    <w:rsid w:val="00FA6975"/>
    <w:rsid w:val="00FB1CDF"/>
    <w:rsid w:val="00FF2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8BDF9"/>
  <w15:chartTrackingRefBased/>
  <w15:docId w15:val="{7FFB6B2B-F15B-438B-9AA0-FB8049D0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F6C"/>
    <w:pPr>
      <w:jc w:val="left"/>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2E6"/>
    <w:pPr>
      <w:ind w:left="720"/>
      <w:contextualSpacing/>
    </w:pPr>
  </w:style>
  <w:style w:type="paragraph" w:styleId="Revision">
    <w:name w:val="Revision"/>
    <w:hidden/>
    <w:uiPriority w:val="99"/>
    <w:semiHidden/>
    <w:rsid w:val="002C1FD3"/>
    <w:pPr>
      <w:jc w:val="left"/>
    </w:pPr>
    <w:rPr>
      <w:sz w:val="24"/>
    </w:rPr>
  </w:style>
  <w:style w:type="character" w:styleId="CommentReference">
    <w:name w:val="annotation reference"/>
    <w:basedOn w:val="DefaultParagraphFont"/>
    <w:uiPriority w:val="99"/>
    <w:semiHidden/>
    <w:unhideWhenUsed/>
    <w:rsid w:val="00A01A3E"/>
    <w:rPr>
      <w:sz w:val="16"/>
      <w:szCs w:val="16"/>
    </w:rPr>
  </w:style>
  <w:style w:type="paragraph" w:styleId="CommentText">
    <w:name w:val="annotation text"/>
    <w:basedOn w:val="Normal"/>
    <w:link w:val="CommentTextChar"/>
    <w:uiPriority w:val="99"/>
    <w:unhideWhenUsed/>
    <w:rsid w:val="00A01A3E"/>
    <w:rPr>
      <w:sz w:val="20"/>
    </w:rPr>
  </w:style>
  <w:style w:type="character" w:customStyle="1" w:styleId="CommentTextChar">
    <w:name w:val="Comment Text Char"/>
    <w:basedOn w:val="DefaultParagraphFont"/>
    <w:link w:val="CommentText"/>
    <w:uiPriority w:val="99"/>
    <w:rsid w:val="00A01A3E"/>
  </w:style>
  <w:style w:type="paragraph" w:styleId="CommentSubject">
    <w:name w:val="annotation subject"/>
    <w:basedOn w:val="CommentText"/>
    <w:next w:val="CommentText"/>
    <w:link w:val="CommentSubjectChar"/>
    <w:uiPriority w:val="99"/>
    <w:semiHidden/>
    <w:unhideWhenUsed/>
    <w:rsid w:val="00A01A3E"/>
    <w:rPr>
      <w:b/>
      <w:bCs/>
    </w:rPr>
  </w:style>
  <w:style w:type="character" w:customStyle="1" w:styleId="CommentSubjectChar">
    <w:name w:val="Comment Subject Char"/>
    <w:basedOn w:val="CommentTextChar"/>
    <w:link w:val="CommentSubject"/>
    <w:uiPriority w:val="99"/>
    <w:semiHidden/>
    <w:rsid w:val="00A01A3E"/>
    <w:rPr>
      <w:b/>
      <w:bCs/>
    </w:rPr>
  </w:style>
  <w:style w:type="character" w:styleId="Hyperlink">
    <w:name w:val="Hyperlink"/>
    <w:basedOn w:val="DefaultParagraphFont"/>
    <w:uiPriority w:val="99"/>
    <w:unhideWhenUsed/>
    <w:rsid w:val="002F59C3"/>
    <w:rPr>
      <w:color w:val="0563C1" w:themeColor="hyperlink"/>
      <w:u w:val="single"/>
    </w:rPr>
  </w:style>
  <w:style w:type="character" w:styleId="UnresolvedMention">
    <w:name w:val="Unresolved Mention"/>
    <w:basedOn w:val="DefaultParagraphFont"/>
    <w:uiPriority w:val="99"/>
    <w:semiHidden/>
    <w:unhideWhenUsed/>
    <w:rsid w:val="002F59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imt.org/wp-content/uploads/2023/07/IMT-Benchmarking-Matrix-July-2024.pdf" TargetMode="External"/></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8BD77-A56D-C045-8383-F389BCA36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Pages>
  <Words>891</Words>
  <Characters>5084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VanGerpen, Lindsay</dc:creator>
  <cp:keywords/>
  <dc:description/>
  <cp:lastModifiedBy>Renew Missouri</cp:lastModifiedBy>
  <cp:revision>2</cp:revision>
  <cp:lastPrinted>2024-11-25T16:56:00Z</cp:lastPrinted>
  <dcterms:created xsi:type="dcterms:W3CDTF">2024-11-25T16:53:00Z</dcterms:created>
  <dcterms:modified xsi:type="dcterms:W3CDTF">2024-12-01T16:50:00Z</dcterms:modified>
</cp:coreProperties>
</file>