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C86F" w14:textId="4C12FE09" w:rsidR="00773849" w:rsidRDefault="00773849" w:rsidP="00773849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STATEMENT AND RECOMMENDATIONS</w:t>
      </w:r>
      <w:r w:rsidRPr="00773849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OF INTERESTED STAKEHOLDERS</w:t>
      </w:r>
    </w:p>
    <w:p w14:paraId="043D6845" w14:textId="77777777" w:rsidR="00773849" w:rsidRPr="00773849" w:rsidRDefault="00773849" w:rsidP="00773849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</w:p>
    <w:p w14:paraId="63553E8C" w14:textId="06B1017A" w:rsidR="00717ABC" w:rsidRPr="001D1485" w:rsidRDefault="00717ABC" w:rsidP="001D1485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To the Missouri Public Service Commission:</w:t>
      </w:r>
    </w:p>
    <w:p w14:paraId="715E0B6E" w14:textId="668F0939" w:rsidR="006C28DA" w:rsidRPr="001D1485" w:rsidRDefault="00717ABC" w:rsidP="001D1485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The undersigned coalition of advocates for low-income Missourians 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appreciates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the 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dedication that each member of the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Commission 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has shown to address the affordability crisis impacting </w:t>
      </w:r>
      <w:r w:rsidR="00336294">
        <w:rPr>
          <w:rFonts w:ascii="Calibri" w:eastAsia="Times New Roman" w:hAnsi="Calibri" w:cs="Calibri"/>
          <w:color w:val="0A0A0A"/>
          <w:kern w:val="0"/>
          <w14:ligatures w14:val="none"/>
        </w:rPr>
        <w:t>our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country</w:t>
      </w:r>
      <w:r w:rsidR="00571378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by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opening Case No. </w:t>
      </w:r>
      <w:r w:rsidR="004A26B3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OW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-2026-</w:t>
      </w:r>
      <w:r w:rsidR="004A26B3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0085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to review 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and improve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utility </w:t>
      </w:r>
      <w:r w:rsidR="004A26B3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affordability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programs. </w:t>
      </w:r>
    </w:p>
    <w:p w14:paraId="0A910C6F" w14:textId="128776CB" w:rsidR="00717ABC" w:rsidRPr="001D1485" w:rsidRDefault="00717ABC" w:rsidP="001D1485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As energy costs continue to challenge household budgets</w:t>
      </w:r>
      <w:r w:rsidR="00C74CA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,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this docket represents a proactive and necessary commitment to evaluating, enhancing, and expanding the accessibility of utility assistance. These programs help ensure that our most vulnerable neighbors</w:t>
      </w:r>
      <w:r w:rsidR="00C85E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, such as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seniors, families with children, and </w:t>
      </w:r>
      <w:r w:rsidR="004A26B3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individuals with disabilities</w:t>
      </w:r>
      <w:r w:rsidR="00F753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are not left behind as the cost of utility service increases.</w:t>
      </w:r>
    </w:p>
    <w:p w14:paraId="4D4B581D" w14:textId="4AF1EFE2" w:rsidR="0022243F" w:rsidRPr="001D1485" w:rsidRDefault="00ED40FB" w:rsidP="001D1485">
      <w:pPr>
        <w:shd w:val="clear" w:color="auto" w:fill="FFFFFF"/>
        <w:spacing w:before="120"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We believe the 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success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of this admirable review effort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depends on engaged, transparent, and comprehensive 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participation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. To that end, we offer the following</w:t>
      </w:r>
      <w:r w:rsidR="00F753B0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="007871C3">
        <w:rPr>
          <w:rFonts w:ascii="Calibri" w:eastAsia="Times New Roman" w:hAnsi="Calibri" w:cs="Calibri"/>
          <w:color w:val="0A0A0A"/>
          <w:kern w:val="0"/>
          <w14:ligatures w14:val="none"/>
        </w:rPr>
        <w:t>recommendations</w:t>
      </w:r>
      <w:r w:rsidR="00370A03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to ensure the success of </w:t>
      </w:r>
      <w:r w:rsidR="007871C3">
        <w:rPr>
          <w:rFonts w:ascii="Calibri" w:eastAsia="Times New Roman" w:hAnsi="Calibri" w:cs="Calibri"/>
          <w:color w:val="0A0A0A"/>
          <w:kern w:val="0"/>
          <w14:ligatures w14:val="none"/>
        </w:rPr>
        <w:t>this docket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:</w:t>
      </w:r>
    </w:p>
    <w:p w14:paraId="298CB56B" w14:textId="61D4F397" w:rsidR="0022243F" w:rsidRPr="001D1485" w:rsidRDefault="0022243F" w:rsidP="001D1485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Best Practices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: </w:t>
      </w:r>
      <w:r w:rsidR="00F753B0" w:rsidRPr="001D1485">
        <w:rPr>
          <w:rFonts w:ascii="Calibri" w:hAnsi="Calibri" w:cs="Calibri"/>
          <w:color w:val="0A0A0A"/>
          <w:shd w:val="clear" w:color="auto" w:fill="FFFFFF"/>
        </w:rPr>
        <w:t xml:space="preserve">Reviewing low-income utility assistance programs </w:t>
      </w:r>
      <w:r w:rsidR="0002722C">
        <w:rPr>
          <w:rFonts w:ascii="Calibri" w:hAnsi="Calibri" w:cs="Calibri"/>
          <w:color w:val="0A0A0A"/>
          <w:shd w:val="clear" w:color="auto" w:fill="FFFFFF"/>
        </w:rPr>
        <w:t xml:space="preserve">comprehensively </w:t>
      </w:r>
      <w:r w:rsidR="00F753B0" w:rsidRPr="001D1485">
        <w:rPr>
          <w:rFonts w:ascii="Calibri" w:hAnsi="Calibri" w:cs="Calibri"/>
          <w:color w:val="0A0A0A"/>
          <w:shd w:val="clear" w:color="auto" w:fill="FFFFFF"/>
        </w:rPr>
        <w:t xml:space="preserve">for </w:t>
      </w:r>
      <w:r w:rsidR="00B07B5E">
        <w:rPr>
          <w:rFonts w:ascii="Calibri" w:hAnsi="Calibri" w:cs="Calibri"/>
          <w:color w:val="0A0A0A"/>
          <w:shd w:val="clear" w:color="auto" w:fill="FFFFFF"/>
        </w:rPr>
        <w:t xml:space="preserve">the establishment of </w:t>
      </w:r>
      <w:r w:rsidRPr="001D1485">
        <w:rPr>
          <w:rFonts w:ascii="Calibri" w:hAnsi="Calibri" w:cs="Calibri"/>
          <w:color w:val="0A0A0A"/>
          <w:shd w:val="clear" w:color="auto" w:fill="FFFFFF"/>
        </w:rPr>
        <w:t>best practice</w:t>
      </w:r>
      <w:r w:rsidR="0002722C">
        <w:rPr>
          <w:rFonts w:ascii="Calibri" w:hAnsi="Calibri" w:cs="Calibri"/>
          <w:color w:val="0A0A0A"/>
          <w:shd w:val="clear" w:color="auto" w:fill="FFFFFF"/>
        </w:rPr>
        <w:t>s is key</w:t>
      </w:r>
      <w:r w:rsidRPr="001D1485">
        <w:rPr>
          <w:rFonts w:ascii="Calibri" w:hAnsi="Calibri" w:cs="Calibri"/>
          <w:color w:val="0A0A0A"/>
          <w:shd w:val="clear" w:color="auto" w:fill="FFFFFF"/>
        </w:rPr>
        <w:t xml:space="preserve"> to </w:t>
      </w:r>
      <w:r w:rsidRPr="001D1485">
        <w:rPr>
          <w:rFonts w:ascii="Calibri" w:hAnsi="Calibri" w:cs="Calibri"/>
        </w:rPr>
        <w:t>maximize funding, ensure equitable access, and reduce high energy burdens for vulnerable households</w:t>
      </w:r>
      <w:r w:rsidRPr="001D1485">
        <w:rPr>
          <w:rFonts w:ascii="Calibri" w:hAnsi="Calibri" w:cs="Calibri"/>
          <w:color w:val="0A0A0A"/>
          <w:shd w:val="clear" w:color="auto" w:fill="FFFFFF"/>
        </w:rPr>
        <w:t xml:space="preserve">. </w:t>
      </w:r>
      <w:r w:rsidR="00D507CD">
        <w:rPr>
          <w:rFonts w:ascii="Calibri" w:hAnsi="Calibri" w:cs="Calibri"/>
          <w:color w:val="0A0A0A"/>
          <w:shd w:val="clear" w:color="auto" w:fill="FFFFFF"/>
        </w:rPr>
        <w:t>These practices also</w:t>
      </w:r>
      <w:r w:rsidRPr="001D1485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D507CD" w:rsidRPr="001D1485">
        <w:rPr>
          <w:rFonts w:ascii="Calibri" w:hAnsi="Calibri" w:cs="Calibri"/>
          <w:color w:val="0A0A0A"/>
          <w:shd w:val="clear" w:color="auto" w:fill="FFFFFF"/>
        </w:rPr>
        <w:t>identify</w:t>
      </w:r>
      <w:r w:rsidRPr="001D1485">
        <w:rPr>
          <w:rFonts w:ascii="Calibri" w:hAnsi="Calibri" w:cs="Calibri"/>
          <w:color w:val="0A0A0A"/>
          <w:shd w:val="clear" w:color="auto" w:fill="FFFFFF"/>
        </w:rPr>
        <w:t xml:space="preserve"> effective strategies to reduce debt for both customers and utilities, improves program efficiency, and helps</w:t>
      </w:r>
      <w:r w:rsidR="003B5175">
        <w:rPr>
          <w:rFonts w:ascii="Calibri" w:hAnsi="Calibri" w:cs="Calibri"/>
          <w:color w:val="0A0A0A"/>
          <w:shd w:val="clear" w:color="auto" w:fill="FFFFFF"/>
        </w:rPr>
        <w:t xml:space="preserve"> customers</w:t>
      </w:r>
      <w:r w:rsidRPr="001D1485">
        <w:rPr>
          <w:rFonts w:ascii="Calibri" w:hAnsi="Calibri" w:cs="Calibri"/>
          <w:color w:val="0A0A0A"/>
          <w:shd w:val="clear" w:color="auto" w:fill="FFFFFF"/>
        </w:rPr>
        <w:t xml:space="preserve"> adapt to rising energy costs</w:t>
      </w:r>
      <w:r w:rsidR="0060238F">
        <w:rPr>
          <w:rFonts w:ascii="Calibri" w:hAnsi="Calibri" w:cs="Calibri"/>
          <w:color w:val="0A0A0A"/>
          <w:shd w:val="clear" w:color="auto" w:fill="FFFFFF"/>
        </w:rPr>
        <w:t>.</w:t>
      </w:r>
    </w:p>
    <w:p w14:paraId="1FAB8901" w14:textId="2AB9C9E9" w:rsidR="0022243F" w:rsidRPr="001D1485" w:rsidRDefault="0022243F" w:rsidP="001D1485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Performance Metrics</w:t>
      </w:r>
      <w:r w:rsidR="0012454B"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/</w:t>
      </w:r>
      <w:r w:rsidR="0062625D"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Demographic</w:t>
      </w:r>
      <w:r w:rsidR="000624C5"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: Agreeing on key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performance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metrics—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like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energy burden levels, participation rates, reductions in arrearages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, 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and 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disconnection numbers</w:t>
      </w:r>
      <w:r w:rsidR="00CF5BF4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allow</w:t>
      </w:r>
      <w:r w:rsidR="00FF4330">
        <w:rPr>
          <w:rFonts w:ascii="Calibri" w:eastAsia="Times New Roman" w:hAnsi="Calibri" w:cs="Calibri"/>
          <w:color w:val="0A0A0A"/>
          <w:kern w:val="0"/>
          <w14:ligatures w14:val="none"/>
        </w:rPr>
        <w:t>s better monitoring</w:t>
      </w:r>
      <w:r w:rsidR="00E0192A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and tracking of program successes and areas for improvement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. Further, the workshop should analyze the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demographics behind that dat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a,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enabl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ing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stakeholders to mitigate future affordability challenges.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  </w:t>
      </w:r>
    </w:p>
    <w:p w14:paraId="75DAF710" w14:textId="2F95E94D" w:rsidR="0022243F" w:rsidRPr="001D1485" w:rsidRDefault="00A31695" w:rsidP="001D1485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Streamlining </w:t>
      </w:r>
      <w:r w:rsidR="0022243F" w:rsidRPr="001D1485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Access: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  <w:r w:rsidR="00012A3A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Looking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beyond the funding levels </w:t>
      </w:r>
      <w:r w:rsidR="000624C5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to 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focus on reducing the administrative hurdles</w:t>
      </w:r>
      <w:r w:rsidR="000624C5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that </w:t>
      </w:r>
      <w:r w:rsidR="003023E9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often </w:t>
      </w:r>
      <w:r w:rsidR="000624C5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act as barriers to assistance for otherwise-eligible households (e.g., 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complex application processes</w:t>
      </w:r>
      <w:r w:rsidR="000624C5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,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="00876E46">
        <w:rPr>
          <w:rFonts w:ascii="Calibri" w:eastAsia="Times New Roman" w:hAnsi="Calibri" w:cs="Calibri"/>
          <w:color w:val="0A0A0A"/>
          <w:kern w:val="0"/>
          <w14:ligatures w14:val="none"/>
        </w:rPr>
        <w:t>burdensome do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cumentation requirements</w:t>
      </w:r>
      <w:r w:rsidR="003023E9">
        <w:rPr>
          <w:rFonts w:ascii="Calibri" w:eastAsia="Times New Roman" w:hAnsi="Calibri" w:cs="Calibri"/>
          <w:color w:val="0A0A0A"/>
          <w:kern w:val="0"/>
          <w14:ligatures w14:val="none"/>
        </w:rPr>
        <w:t>, etc.</w:t>
      </w:r>
      <w:r w:rsidR="000624C5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)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.</w:t>
      </w:r>
    </w:p>
    <w:p w14:paraId="5154F485" w14:textId="10B7BA27" w:rsidR="00090331" w:rsidRPr="00090331" w:rsidRDefault="0062625D" w:rsidP="0009033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090331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Stakeholder Workshops:</w:t>
      </w:r>
      <w:r w:rsidRPr="00090331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  <w:r w:rsidR="004F60E0">
        <w:rPr>
          <w:rFonts w:ascii="Calibri" w:eastAsia="Times New Roman" w:hAnsi="Calibri" w:cs="Calibri"/>
          <w:color w:val="0A0A0A"/>
          <w:kern w:val="0"/>
          <w14:ligatures w14:val="none"/>
        </w:rPr>
        <w:t>Understanding</w:t>
      </w:r>
      <w:r w:rsidR="00090331" w:rsidRPr="00090331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the vast differences between urban and rural utility challenges, we encourage the Commission to host more than one workshop and consider workshops across the state, including in-person opportunities in underserved regions. </w:t>
      </w:r>
    </w:p>
    <w:p w14:paraId="46676D0C" w14:textId="04109DE3" w:rsidR="0062625D" w:rsidRPr="001D1485" w:rsidRDefault="006C28DA" w:rsidP="001D1485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The most important ingredient for the workshops to be successful is direct</w:t>
      </w:r>
      <w:r w:rsidR="007B1C13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in-person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Commissioner 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p</w:t>
      </w:r>
      <w:r w:rsidR="0022243F" w:rsidRPr="001D1485">
        <w:rPr>
          <w:rFonts w:ascii="Calibri" w:eastAsia="Times New Roman" w:hAnsi="Calibri" w:cs="Calibri"/>
          <w:color w:val="0A0A0A"/>
          <w:kern w:val="0"/>
          <w14:ligatures w14:val="none"/>
        </w:rPr>
        <w:t>articipation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. </w:t>
      </w:r>
      <w:r w:rsidR="0008677C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We recognize and appreciate the diligent work that </w:t>
      </w:r>
      <w:r w:rsidR="007B1C13">
        <w:rPr>
          <w:rFonts w:ascii="Calibri" w:eastAsia="Times New Roman" w:hAnsi="Calibri" w:cs="Calibri"/>
          <w:color w:val="0A0A0A"/>
          <w:kern w:val="0"/>
          <w14:ligatures w14:val="none"/>
        </w:rPr>
        <w:t>S</w:t>
      </w:r>
      <w:r w:rsidR="0008677C">
        <w:rPr>
          <w:rFonts w:ascii="Calibri" w:eastAsia="Times New Roman" w:hAnsi="Calibri" w:cs="Calibri"/>
          <w:color w:val="0A0A0A"/>
          <w:kern w:val="0"/>
          <w14:ligatures w14:val="none"/>
        </w:rPr>
        <w:t>taff has already conducted.  We also feel that Commissioners h</w:t>
      </w:r>
      <w:r w:rsidR="0016279F" w:rsidRPr="002B068F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earing directly from families facing disconnection </w:t>
      </w:r>
      <w:r w:rsidR="0016279F" w:rsidRPr="002B068F">
        <w:rPr>
          <w:rFonts w:ascii="Calibri" w:eastAsia="Times New Roman" w:hAnsi="Calibri" w:cs="Calibri"/>
          <w:color w:val="0A0A0A"/>
          <w:kern w:val="0"/>
          <w14:ligatures w14:val="none"/>
        </w:rPr>
        <w:lastRenderedPageBreak/>
        <w:t>or struggling to pay is vital to shaping effective, compassionate, and equitable regulatory policies.</w:t>
      </w:r>
      <w:r w:rsidR="0016279F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 </w:t>
      </w:r>
      <w:r w:rsidR="00A22BD6">
        <w:rPr>
          <w:rFonts w:ascii="Calibri" w:eastAsia="Times New Roman" w:hAnsi="Calibri" w:cs="Calibri"/>
          <w:color w:val="0A0A0A"/>
          <w:kern w:val="0"/>
          <w14:ligatures w14:val="none"/>
        </w:rPr>
        <w:t>Therefore, we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request that these workshops take place when the Commissioners, themselves, will be able to attend</w:t>
      </w:r>
      <w:r w:rsidR="007B1C13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in-person</w:t>
      </w: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. </w:t>
      </w:r>
    </w:p>
    <w:p w14:paraId="2FCBA365" w14:textId="3A2263C4" w:rsidR="00717ABC" w:rsidRPr="001D1485" w:rsidRDefault="00717ABC" w:rsidP="001D1485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We look forward to collaborating with the Commission on these vital issues</w:t>
      </w:r>
      <w:r w:rsidR="0062625D" w:rsidRPr="001D1485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moving forward and thank you for your time. </w:t>
      </w:r>
    </w:p>
    <w:p w14:paraId="3B2260D7" w14:textId="119ABC9B" w:rsidR="00BE6CA6" w:rsidRPr="00360E6A" w:rsidRDefault="00717ABC" w:rsidP="00360E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D1485">
        <w:rPr>
          <w:rFonts w:ascii="Calibri" w:eastAsia="Times New Roman" w:hAnsi="Calibri" w:cs="Calibri"/>
          <w:color w:val="0A0A0A"/>
          <w:kern w:val="0"/>
          <w14:ligatures w14:val="none"/>
        </w:rPr>
        <w:t>Respectfully Submitted,</w:t>
      </w:r>
    </w:p>
    <w:p w14:paraId="2DE91588" w14:textId="77777777" w:rsidR="00360E6A" w:rsidRDefault="00360E6A" w:rsidP="001D1485">
      <w:pPr>
        <w:spacing w:line="240" w:lineRule="auto"/>
        <w:jc w:val="both"/>
        <w:rPr>
          <w:rFonts w:ascii="Calibri" w:eastAsia="Times New Roman" w:hAnsi="Calibri" w:cs="Calibri"/>
          <w:i/>
          <w:iCs/>
          <w:color w:val="0A0A0A"/>
          <w:kern w:val="0"/>
          <w14:ligatures w14:val="none"/>
        </w:rPr>
      </w:pPr>
    </w:p>
    <w:p w14:paraId="46DE4601" w14:textId="5F9E9327" w:rsid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Consumers Council</w:t>
      </w:r>
      <w:r>
        <w:rPr>
          <w:rFonts w:ascii="Calibri" w:hAnsi="Calibri" w:cs="Calibri"/>
        </w:rPr>
        <w:t xml:space="preserve"> of Missouri</w:t>
      </w:r>
    </w:p>
    <w:p w14:paraId="3505D5CD" w14:textId="48316252" w:rsidR="00360E6A" w:rsidRP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Metropolitan Congregations United</w:t>
      </w:r>
    </w:p>
    <w:p w14:paraId="54A496B3" w14:textId="21189F1A" w:rsid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M</w:t>
      </w:r>
      <w:r>
        <w:rPr>
          <w:rFonts w:ascii="Calibri" w:hAnsi="Calibri" w:cs="Calibri"/>
        </w:rPr>
        <w:t>issouri</w:t>
      </w:r>
      <w:r w:rsidRPr="00360E6A">
        <w:rPr>
          <w:rFonts w:ascii="Calibri" w:hAnsi="Calibri" w:cs="Calibri"/>
        </w:rPr>
        <w:t xml:space="preserve"> Coalition for the Environment</w:t>
      </w:r>
    </w:p>
    <w:p w14:paraId="647E6216" w14:textId="66381C18" w:rsidR="00360E6A" w:rsidRP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Missouri Chapter of the Sierra Club</w:t>
      </w:r>
    </w:p>
    <w:p w14:paraId="49363B33" w14:textId="77777777" w:rsid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Great Rivers Environmental Law Center</w:t>
      </w:r>
    </w:p>
    <w:p w14:paraId="6474A3B1" w14:textId="32086908" w:rsidR="00360E6A" w:rsidRP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Renew M</w:t>
      </w:r>
      <w:r>
        <w:rPr>
          <w:rFonts w:ascii="Calibri" w:hAnsi="Calibri" w:cs="Calibri"/>
        </w:rPr>
        <w:t>issouri</w:t>
      </w:r>
    </w:p>
    <w:p w14:paraId="09CAD939" w14:textId="60F49B3F" w:rsidR="00360E6A" w:rsidRPr="00360E6A" w:rsidRDefault="00360E6A" w:rsidP="00360E6A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60E6A">
        <w:rPr>
          <w:rFonts w:ascii="Calibri" w:hAnsi="Calibri" w:cs="Calibri"/>
        </w:rPr>
        <w:t>Missouri Veterans Endeavor</w:t>
      </w:r>
    </w:p>
    <w:p w14:paraId="2C5C9D60" w14:textId="77777777" w:rsidR="00360E6A" w:rsidRPr="001D1485" w:rsidRDefault="00360E6A" w:rsidP="001D1485">
      <w:pPr>
        <w:spacing w:line="240" w:lineRule="auto"/>
        <w:jc w:val="both"/>
        <w:rPr>
          <w:rFonts w:ascii="Calibri" w:hAnsi="Calibri" w:cs="Calibri"/>
        </w:rPr>
      </w:pPr>
    </w:p>
    <w:sectPr w:rsidR="00360E6A" w:rsidRPr="001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F5A94"/>
    <w:multiLevelType w:val="multilevel"/>
    <w:tmpl w:val="4964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159C2"/>
    <w:multiLevelType w:val="multilevel"/>
    <w:tmpl w:val="6C5E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711057">
    <w:abstractNumId w:val="1"/>
  </w:num>
  <w:num w:numId="2" w16cid:durableId="211231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BC"/>
    <w:rsid w:val="00012A3A"/>
    <w:rsid w:val="0002722C"/>
    <w:rsid w:val="000624C5"/>
    <w:rsid w:val="0008677C"/>
    <w:rsid w:val="00090331"/>
    <w:rsid w:val="000A4349"/>
    <w:rsid w:val="0012454B"/>
    <w:rsid w:val="0016279F"/>
    <w:rsid w:val="001D1485"/>
    <w:rsid w:val="0022243F"/>
    <w:rsid w:val="002B41B8"/>
    <w:rsid w:val="002C6022"/>
    <w:rsid w:val="003023E9"/>
    <w:rsid w:val="00312B6B"/>
    <w:rsid w:val="00336294"/>
    <w:rsid w:val="00360E6A"/>
    <w:rsid w:val="00370A03"/>
    <w:rsid w:val="00376AEE"/>
    <w:rsid w:val="003B5175"/>
    <w:rsid w:val="003B57A6"/>
    <w:rsid w:val="003F781D"/>
    <w:rsid w:val="004A26B3"/>
    <w:rsid w:val="004F60E0"/>
    <w:rsid w:val="004F7F22"/>
    <w:rsid w:val="00570141"/>
    <w:rsid w:val="00571378"/>
    <w:rsid w:val="005B3BFB"/>
    <w:rsid w:val="005E0FA7"/>
    <w:rsid w:val="0060238F"/>
    <w:rsid w:val="0062625D"/>
    <w:rsid w:val="00674B10"/>
    <w:rsid w:val="00693153"/>
    <w:rsid w:val="006C28DA"/>
    <w:rsid w:val="006C2B3A"/>
    <w:rsid w:val="00717ABC"/>
    <w:rsid w:val="00752A37"/>
    <w:rsid w:val="00773849"/>
    <w:rsid w:val="007871C3"/>
    <w:rsid w:val="007B1C13"/>
    <w:rsid w:val="007B29B2"/>
    <w:rsid w:val="00876E46"/>
    <w:rsid w:val="008C5DE4"/>
    <w:rsid w:val="0094478F"/>
    <w:rsid w:val="009F0EC8"/>
    <w:rsid w:val="00A22BD6"/>
    <w:rsid w:val="00A31695"/>
    <w:rsid w:val="00A41538"/>
    <w:rsid w:val="00B07B5E"/>
    <w:rsid w:val="00B4675A"/>
    <w:rsid w:val="00B726A2"/>
    <w:rsid w:val="00BE6CA6"/>
    <w:rsid w:val="00C54808"/>
    <w:rsid w:val="00C74CA0"/>
    <w:rsid w:val="00C85EB0"/>
    <w:rsid w:val="00CC0F01"/>
    <w:rsid w:val="00CE79CF"/>
    <w:rsid w:val="00CF5BF4"/>
    <w:rsid w:val="00D16D67"/>
    <w:rsid w:val="00D507CD"/>
    <w:rsid w:val="00D55F84"/>
    <w:rsid w:val="00D940AD"/>
    <w:rsid w:val="00E0192A"/>
    <w:rsid w:val="00EA4AC1"/>
    <w:rsid w:val="00ED40FB"/>
    <w:rsid w:val="00F753B0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4B0A"/>
  <w15:chartTrackingRefBased/>
  <w15:docId w15:val="{CA6E9D8A-3F91-4362-A3D8-D58EEC4A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85E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5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Marke, Geoff</dc:creator>
  <cp:keywords/>
  <dc:description/>
  <cp:lastModifiedBy>John Coffman</cp:lastModifiedBy>
  <cp:revision>2</cp:revision>
  <dcterms:created xsi:type="dcterms:W3CDTF">2026-05-06T20:26:00Z</dcterms:created>
  <dcterms:modified xsi:type="dcterms:W3CDTF">2026-05-06T20:26:00Z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d2594142-7ac1-4fb5-8243-57eeb902963e</vt:lpwstr>
  </property>
</Properties>
</file>