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1D6" w:rsidP="002C51D6" w:rsidRDefault="002C51D6" w14:paraId="0B8FBA9F" w14:textId="77777777">
      <w:pPr>
        <w:pStyle w:val="Heading1"/>
        <w:spacing w:line="300" w:lineRule="atLeast"/>
        <w:rPr>
          <w:rFonts w:ascii="Segoe UI" w:hAnsi="Segoe UI" w:cs="Segoe UI"/>
        </w:rPr>
      </w:pPr>
      <w:r>
        <w:rPr>
          <w:rStyle w:val="Strong"/>
          <w:rFonts w:ascii="Segoe UI" w:hAnsi="Segoe UI" w:cs="Segoe UI"/>
          <w:b w:val="0"/>
          <w:bCs w:val="0"/>
        </w:rPr>
        <w:t>STATE OF MISSOURI</w:t>
      </w:r>
    </w:p>
    <w:p w:rsidR="002C51D6" w:rsidP="002C51D6" w:rsidRDefault="002C51D6" w14:paraId="23F71DCF" w14:textId="77777777">
      <w:pPr>
        <w:pStyle w:val="NormalWeb"/>
        <w:spacing w:line="300" w:lineRule="atLeast"/>
        <w:rPr>
          <w:rFonts w:ascii="Segoe UI" w:hAnsi="Segoe UI" w:cs="Segoe UI"/>
          <w:sz w:val="21"/>
          <w:szCs w:val="21"/>
        </w:rPr>
      </w:pPr>
      <w:r>
        <w:rPr>
          <w:rStyle w:val="Strong"/>
          <w:rFonts w:ascii="Segoe UI" w:hAnsi="Segoe UI" w:cs="Segoe UI" w:eastAsiaTheme="majorEastAsia"/>
          <w:sz w:val="21"/>
          <w:szCs w:val="21"/>
        </w:rPr>
        <w:t>PUBLIC SERVICE COMMISSION</w:t>
      </w:r>
    </w:p>
    <w:p w:rsidR="002C51D6" w:rsidP="002C51D6" w:rsidRDefault="002C51D6" w14:paraId="5A3F62F1" w14:textId="77777777">
      <w:pPr>
        <w:pStyle w:val="NormalWeb"/>
        <w:spacing w:line="300" w:lineRule="atLeast"/>
        <w:rPr>
          <w:rFonts w:ascii="Segoe UI" w:hAnsi="Segoe UI" w:cs="Segoe UI"/>
          <w:sz w:val="21"/>
          <w:szCs w:val="21"/>
        </w:rPr>
      </w:pPr>
      <w:r>
        <w:rPr>
          <w:rStyle w:val="Strong"/>
          <w:rFonts w:ascii="Segoe UI" w:hAnsi="Segoe UI" w:cs="Segoe UI" w:eastAsiaTheme="majorEastAsia"/>
          <w:sz w:val="21"/>
          <w:szCs w:val="21"/>
        </w:rPr>
        <w:t>Timothy Boyle, Complainant</w:t>
      </w:r>
      <w:r>
        <w:rPr>
          <w:rFonts w:ascii="Segoe UI" w:hAnsi="Segoe UI" w:cs="Segoe UI"/>
          <w:sz w:val="21"/>
          <w:szCs w:val="21"/>
        </w:rPr>
        <w:br/>
      </w:r>
      <w:r>
        <w:rPr>
          <w:rFonts w:ascii="Segoe UI" w:hAnsi="Segoe UI" w:cs="Segoe UI"/>
          <w:sz w:val="21"/>
          <w:szCs w:val="21"/>
        </w:rPr>
        <w:t>v.</w:t>
      </w:r>
      <w:r>
        <w:rPr>
          <w:rFonts w:ascii="Segoe UI" w:hAnsi="Segoe UI" w:cs="Segoe UI"/>
          <w:sz w:val="21"/>
          <w:szCs w:val="21"/>
        </w:rPr>
        <w:br/>
      </w:r>
      <w:r>
        <w:rPr>
          <w:rStyle w:val="Strong"/>
          <w:rFonts w:ascii="Segoe UI" w:hAnsi="Segoe UI" w:cs="Segoe UI" w:eastAsiaTheme="majorEastAsia"/>
          <w:sz w:val="21"/>
          <w:szCs w:val="21"/>
        </w:rPr>
        <w:t>Union Electric Company d/b/a Ameren Missouri, Respondent</w:t>
      </w:r>
    </w:p>
    <w:p w:rsidR="002C51D6" w:rsidP="002C51D6" w:rsidRDefault="002C51D6" w14:paraId="4CC3A219" w14:textId="77777777">
      <w:pPr>
        <w:pStyle w:val="NormalWeb"/>
        <w:spacing w:line="300" w:lineRule="atLeast"/>
        <w:rPr>
          <w:rStyle w:val="Strong"/>
          <w:rFonts w:ascii="Segoe UI" w:hAnsi="Segoe UI" w:cs="Segoe UI" w:eastAsiaTheme="majorEastAsia"/>
          <w:sz w:val="21"/>
          <w:szCs w:val="21"/>
        </w:rPr>
      </w:pPr>
      <w:r>
        <w:rPr>
          <w:rStyle w:val="Strong"/>
          <w:rFonts w:ascii="Segoe UI" w:hAnsi="Segoe UI" w:cs="Segoe UI" w:eastAsiaTheme="majorEastAsia"/>
          <w:sz w:val="21"/>
          <w:szCs w:val="21"/>
        </w:rPr>
        <w:t>Case No. EC-2026-0095</w:t>
      </w:r>
    </w:p>
    <w:p w:rsidR="002C51D6" w:rsidP="002C51D6" w:rsidRDefault="002C51D6" w14:paraId="2545C796" w14:textId="77777777">
      <w:pPr>
        <w:pStyle w:val="NormalWeb"/>
        <w:spacing w:line="300" w:lineRule="atLeast"/>
        <w:rPr>
          <w:rStyle w:val="Strong"/>
          <w:rFonts w:ascii="Segoe UI" w:hAnsi="Segoe UI" w:cs="Segoe UI" w:eastAsiaTheme="majorEastAsia"/>
          <w:sz w:val="21"/>
          <w:szCs w:val="21"/>
        </w:rPr>
      </w:pPr>
    </w:p>
    <w:p w:rsidR="002C51D6" w:rsidP="002C51D6" w:rsidRDefault="002C51D6" w14:paraId="60750021" w14:textId="77777777">
      <w:pPr>
        <w:pStyle w:val="Heading2"/>
        <w:spacing w:line="300" w:lineRule="atLeast"/>
        <w:rPr>
          <w:rFonts w:ascii="Segoe UI" w:hAnsi="Segoe UI" w:cs="Segoe UI"/>
          <w:sz w:val="36"/>
          <w:szCs w:val="36"/>
        </w:rPr>
      </w:pPr>
      <w:r>
        <w:rPr>
          <w:rStyle w:val="Strong"/>
          <w:rFonts w:ascii="Segoe UI" w:hAnsi="Segoe UI" w:cs="Segoe UI"/>
          <w:b w:val="0"/>
          <w:bCs w:val="0"/>
        </w:rPr>
        <w:t>TABLE OF AUTHORITIES</w:t>
      </w:r>
    </w:p>
    <w:p w:rsidR="002C51D6" w:rsidP="002C51D6" w:rsidRDefault="002C51D6" w14:paraId="0392D99E" w14:textId="77777777">
      <w:pPr>
        <w:pStyle w:val="Heading3"/>
        <w:spacing w:line="300" w:lineRule="atLeast"/>
        <w:rPr>
          <w:rFonts w:ascii="Segoe UI" w:hAnsi="Segoe UI" w:cs="Segoe UI"/>
        </w:rPr>
      </w:pPr>
      <w:r>
        <w:rPr>
          <w:rStyle w:val="Strong"/>
          <w:rFonts w:ascii="Segoe UI" w:hAnsi="Segoe UI" w:cs="Segoe UI"/>
          <w:b w:val="0"/>
          <w:bCs w:val="0"/>
        </w:rPr>
        <w:t>Cases</w:t>
      </w:r>
    </w:p>
    <w:p w:rsidR="002C51D6" w:rsidP="002C51D6" w:rsidRDefault="002C51D6" w14:paraId="33B33DE5" w14:textId="77777777">
      <w:pPr>
        <w:pStyle w:val="NormalWeb"/>
        <w:spacing w:line="300" w:lineRule="atLeast"/>
        <w:rPr>
          <w:rFonts w:ascii="Segoe UI" w:hAnsi="Segoe UI" w:cs="Segoe UI"/>
          <w:sz w:val="21"/>
          <w:szCs w:val="21"/>
        </w:rPr>
      </w:pPr>
      <w:r>
        <w:rPr>
          <w:rStyle w:val="Emphasis"/>
          <w:rFonts w:ascii="Segoe UI" w:hAnsi="Segoe UI" w:cs="Segoe UI" w:eastAsiaTheme="majorEastAsia"/>
          <w:sz w:val="21"/>
          <w:szCs w:val="21"/>
        </w:rPr>
        <w:t>Goddard v. St. Joseph Light &amp; Power Co.</w:t>
      </w:r>
      <w:r>
        <w:rPr>
          <w:rFonts w:ascii="Segoe UI" w:hAnsi="Segoe UI" w:cs="Segoe UI"/>
          <w:sz w:val="21"/>
          <w:szCs w:val="21"/>
        </w:rPr>
        <w:t>,</w:t>
      </w:r>
      <w:r>
        <w:rPr>
          <w:rFonts w:ascii="Segoe UI" w:hAnsi="Segoe UI" w:cs="Segoe UI"/>
          <w:sz w:val="21"/>
          <w:szCs w:val="21"/>
        </w:rPr>
        <w:br/>
      </w:r>
      <w:r>
        <w:rPr>
          <w:rFonts w:ascii="Segoe UI" w:hAnsi="Segoe UI" w:cs="Segoe UI"/>
          <w:sz w:val="21"/>
          <w:szCs w:val="21"/>
        </w:rPr>
        <w:t xml:space="preserve">379 S.W.2d 565 (Mo. 1964) ............................................... 8, 11 </w:t>
      </w:r>
      <w:hyperlink w:history="1" r:id="rId5">
        <w:r>
          <w:rPr>
            <w:rStyle w:val="Hyperlink"/>
            <w:rFonts w:ascii="Segoe UI" w:hAnsi="Segoe UI" w:cs="Segoe UI" w:eastAsiaTheme="majorEastAsia"/>
            <w:sz w:val="21"/>
            <w:szCs w:val="21"/>
          </w:rPr>
          <w:t>[case-law.vlex.com]</w:t>
        </w:r>
      </w:hyperlink>
    </w:p>
    <w:p w:rsidR="002C51D6" w:rsidP="002C51D6" w:rsidRDefault="002C51D6" w14:paraId="7E5A3635" w14:textId="77777777">
      <w:pPr>
        <w:pStyle w:val="NormalWeb"/>
        <w:spacing w:line="300" w:lineRule="atLeast"/>
        <w:rPr>
          <w:rFonts w:ascii="Segoe UI" w:hAnsi="Segoe UI" w:cs="Segoe UI"/>
          <w:sz w:val="21"/>
          <w:szCs w:val="21"/>
        </w:rPr>
      </w:pPr>
      <w:r>
        <w:rPr>
          <w:rStyle w:val="Emphasis"/>
          <w:rFonts w:ascii="Segoe UI" w:hAnsi="Segoe UI" w:cs="Segoe UI" w:eastAsiaTheme="majorEastAsia"/>
          <w:sz w:val="21"/>
          <w:szCs w:val="21"/>
        </w:rPr>
        <w:t>Grattan v. Union Electric Co.</w:t>
      </w:r>
      <w:r>
        <w:rPr>
          <w:rFonts w:ascii="Segoe UI" w:hAnsi="Segoe UI" w:cs="Segoe UI"/>
          <w:sz w:val="21"/>
          <w:szCs w:val="21"/>
        </w:rPr>
        <w:t>,</w:t>
      </w:r>
      <w:r>
        <w:rPr>
          <w:rFonts w:ascii="Segoe UI" w:hAnsi="Segoe UI" w:cs="Segoe UI"/>
          <w:sz w:val="21"/>
          <w:szCs w:val="21"/>
        </w:rPr>
        <w:br/>
      </w:r>
      <w:r>
        <w:rPr>
          <w:rFonts w:ascii="Segoe UI" w:hAnsi="Segoe UI" w:cs="Segoe UI"/>
          <w:sz w:val="21"/>
          <w:szCs w:val="21"/>
        </w:rPr>
        <w:t xml:space="preserve">151 S.W.3d 59 (Mo. banc 2004) ....................................... 9–10 </w:t>
      </w:r>
      <w:hyperlink w:history="1" r:id="rId6">
        <w:r>
          <w:rPr>
            <w:rStyle w:val="Hyperlink"/>
            <w:rFonts w:ascii="Segoe UI" w:hAnsi="Segoe UI" w:cs="Segoe UI" w:eastAsiaTheme="majorEastAsia"/>
            <w:sz w:val="21"/>
            <w:szCs w:val="21"/>
          </w:rPr>
          <w:t>[law.justia.com]</w:t>
        </w:r>
      </w:hyperlink>
    </w:p>
    <w:p w:rsidR="002C51D6" w:rsidP="002C51D6" w:rsidRDefault="002C51D6" w14:paraId="65DE7C0C" w14:textId="77777777">
      <w:pPr>
        <w:pStyle w:val="NormalWeb"/>
        <w:spacing w:line="300" w:lineRule="atLeast"/>
        <w:rPr>
          <w:rFonts w:ascii="Segoe UI" w:hAnsi="Segoe UI" w:cs="Segoe UI"/>
          <w:sz w:val="21"/>
          <w:szCs w:val="21"/>
        </w:rPr>
      </w:pPr>
      <w:r>
        <w:rPr>
          <w:rStyle w:val="Emphasis"/>
          <w:rFonts w:ascii="Segoe UI" w:hAnsi="Segoe UI" w:cs="Segoe UI" w:eastAsiaTheme="majorEastAsia"/>
          <w:sz w:val="21"/>
          <w:szCs w:val="21"/>
        </w:rPr>
        <w:t>Mobley v. Webster Electric Cooperative</w:t>
      </w:r>
      <w:r>
        <w:rPr>
          <w:rFonts w:ascii="Segoe UI" w:hAnsi="Segoe UI" w:cs="Segoe UI"/>
          <w:sz w:val="21"/>
          <w:szCs w:val="21"/>
        </w:rPr>
        <w:t>,</w:t>
      </w:r>
      <w:r>
        <w:rPr>
          <w:rFonts w:ascii="Segoe UI" w:hAnsi="Segoe UI" w:cs="Segoe UI"/>
          <w:sz w:val="21"/>
          <w:szCs w:val="21"/>
        </w:rPr>
        <w:br/>
      </w:r>
      <w:r>
        <w:rPr>
          <w:rFonts w:ascii="Segoe UI" w:hAnsi="Segoe UI" w:cs="Segoe UI"/>
          <w:sz w:val="21"/>
          <w:szCs w:val="21"/>
        </w:rPr>
        <w:t xml:space="preserve">( Mo. App. 1993 ) ............................................................... 10 </w:t>
      </w:r>
      <w:hyperlink w:history="1" r:id="rId7">
        <w:r>
          <w:rPr>
            <w:rStyle w:val="Hyperlink"/>
            <w:rFonts w:ascii="Segoe UI" w:hAnsi="Segoe UI" w:cs="Segoe UI" w:eastAsiaTheme="majorEastAsia"/>
            <w:sz w:val="21"/>
            <w:szCs w:val="21"/>
          </w:rPr>
          <w:t>[studicata.com]</w:t>
        </w:r>
      </w:hyperlink>
    </w:p>
    <w:p w:rsidR="002C51D6" w:rsidP="002C51D6" w:rsidRDefault="002C51D6" w14:paraId="2349CEAC" w14:textId="77777777">
      <w:pPr>
        <w:pStyle w:val="NormalWeb"/>
        <w:spacing w:line="300" w:lineRule="atLeast"/>
        <w:rPr>
          <w:rFonts w:ascii="Segoe UI" w:hAnsi="Segoe UI" w:cs="Segoe UI"/>
          <w:sz w:val="21"/>
          <w:szCs w:val="21"/>
        </w:rPr>
      </w:pPr>
      <w:r>
        <w:rPr>
          <w:rStyle w:val="Emphasis"/>
          <w:rFonts w:ascii="Segoe UI" w:hAnsi="Segoe UI" w:cs="Segoe UI" w:eastAsiaTheme="majorEastAsia"/>
          <w:sz w:val="21"/>
          <w:szCs w:val="21"/>
        </w:rPr>
        <w:t>Pierce v. Platte-Clay Electric Cooperative, Inc.</w:t>
      </w:r>
      <w:r>
        <w:rPr>
          <w:rFonts w:ascii="Segoe UI" w:hAnsi="Segoe UI" w:cs="Segoe UI"/>
          <w:sz w:val="21"/>
          <w:szCs w:val="21"/>
        </w:rPr>
        <w:t>,</w:t>
      </w:r>
      <w:r>
        <w:rPr>
          <w:rFonts w:ascii="Segoe UI" w:hAnsi="Segoe UI" w:cs="Segoe UI"/>
          <w:sz w:val="21"/>
          <w:szCs w:val="21"/>
        </w:rPr>
        <w:br/>
      </w:r>
      <w:r>
        <w:rPr>
          <w:rFonts w:ascii="Segoe UI" w:hAnsi="Segoe UI" w:cs="Segoe UI"/>
          <w:sz w:val="21"/>
          <w:szCs w:val="21"/>
        </w:rPr>
        <w:t xml:space="preserve">769 S.W.2d 769 (Mo. banc 1989) .................................... 7–9 </w:t>
      </w:r>
      <w:hyperlink w:history="1" r:id="rId8">
        <w:r>
          <w:rPr>
            <w:rStyle w:val="Hyperlink"/>
            <w:rFonts w:ascii="Segoe UI" w:hAnsi="Segoe UI" w:cs="Segoe UI" w:eastAsiaTheme="majorEastAsia"/>
            <w:sz w:val="21"/>
            <w:szCs w:val="21"/>
          </w:rPr>
          <w:t>[law.justia.com]</w:t>
        </w:r>
      </w:hyperlink>
    </w:p>
    <w:p w:rsidR="002C51D6" w:rsidP="002C51D6" w:rsidRDefault="00000000" w14:paraId="618A6F0E" w14:textId="77777777">
      <w:pPr>
        <w:spacing w:line="300" w:lineRule="atLeast"/>
        <w:rPr>
          <w:rFonts w:ascii="Segoe UI" w:hAnsi="Segoe UI" w:cs="Segoe UI"/>
          <w:sz w:val="21"/>
          <w:szCs w:val="21"/>
        </w:rPr>
      </w:pPr>
      <w:r>
        <w:rPr>
          <w:rFonts w:ascii="Segoe UI" w:hAnsi="Segoe UI" w:cs="Segoe UI"/>
          <w:sz w:val="21"/>
          <w:szCs w:val="21"/>
        </w:rPr>
        <w:pict w14:anchorId="46BD9E5E">
          <v:rect id="_x0000_i1025" style="width:0;height:1.5pt" o:hr="t" o:hrstd="t" o:hralign="center" fillcolor="#a0a0a0" stroked="f"/>
        </w:pict>
      </w:r>
    </w:p>
    <w:p w:rsidR="002C51D6" w:rsidP="002C51D6" w:rsidRDefault="002C51D6" w14:paraId="16D34C5F" w14:textId="77777777">
      <w:pPr>
        <w:pStyle w:val="Heading3"/>
        <w:spacing w:line="300" w:lineRule="atLeast"/>
        <w:rPr>
          <w:rFonts w:ascii="Segoe UI" w:hAnsi="Segoe UI" w:cs="Segoe UI"/>
          <w:sz w:val="27"/>
          <w:szCs w:val="27"/>
        </w:rPr>
      </w:pPr>
      <w:r>
        <w:rPr>
          <w:rStyle w:val="Strong"/>
          <w:rFonts w:ascii="Segoe UI" w:hAnsi="Segoe UI" w:cs="Segoe UI"/>
          <w:b w:val="0"/>
          <w:bCs w:val="0"/>
        </w:rPr>
        <w:t>Statutes and Regulations</w:t>
      </w:r>
    </w:p>
    <w:p w:rsidR="002C51D6" w:rsidP="002C51D6" w:rsidRDefault="002C51D6" w14:paraId="43259BA6" w14:textId="77777777">
      <w:pPr>
        <w:pStyle w:val="NormalWeb"/>
        <w:spacing w:line="300" w:lineRule="atLeast"/>
        <w:rPr>
          <w:rFonts w:ascii="Segoe UI" w:hAnsi="Segoe UI" w:cs="Segoe UI"/>
          <w:sz w:val="21"/>
          <w:szCs w:val="21"/>
        </w:rPr>
      </w:pPr>
      <w:r>
        <w:rPr>
          <w:rFonts w:ascii="Segoe UI" w:hAnsi="Segoe UI" w:cs="Segoe UI"/>
          <w:sz w:val="21"/>
          <w:szCs w:val="21"/>
        </w:rPr>
        <w:t>4 CSR 240-23.020</w:t>
      </w:r>
      <w:r>
        <w:rPr>
          <w:rFonts w:ascii="Segoe UI" w:hAnsi="Segoe UI" w:cs="Segoe UI"/>
          <w:sz w:val="21"/>
          <w:szCs w:val="21"/>
        </w:rPr>
        <w:br/>
      </w:r>
      <w:r>
        <w:rPr>
          <w:rFonts w:ascii="Segoe UI" w:hAnsi="Segoe UI" w:cs="Segoe UI"/>
          <w:sz w:val="21"/>
          <w:szCs w:val="21"/>
        </w:rPr>
        <w:t>(Electrical Corporation Infrastructure Standards) .......... 7–8</w:t>
      </w:r>
    </w:p>
    <w:p w:rsidR="002C51D6" w:rsidP="002C51D6" w:rsidRDefault="00000000" w14:paraId="14D0FF8E" w14:textId="77777777">
      <w:pPr>
        <w:spacing w:line="300" w:lineRule="atLeast"/>
        <w:rPr>
          <w:rFonts w:ascii="Segoe UI" w:hAnsi="Segoe UI" w:cs="Segoe UI"/>
          <w:sz w:val="21"/>
          <w:szCs w:val="21"/>
        </w:rPr>
      </w:pPr>
      <w:r>
        <w:rPr>
          <w:rFonts w:ascii="Segoe UI" w:hAnsi="Segoe UI" w:cs="Segoe UI"/>
          <w:sz w:val="21"/>
          <w:szCs w:val="21"/>
        </w:rPr>
        <w:pict w14:anchorId="73716678">
          <v:rect id="_x0000_i1026" style="width:0;height:1.5pt" o:hr="t" o:hrstd="t" o:hralign="center" fillcolor="#a0a0a0" stroked="f"/>
        </w:pict>
      </w:r>
    </w:p>
    <w:p w:rsidR="002C51D6" w:rsidP="002C51D6" w:rsidRDefault="002C51D6" w14:paraId="30E8B2AB" w14:textId="77777777">
      <w:pPr>
        <w:pStyle w:val="Heading3"/>
        <w:spacing w:line="300" w:lineRule="atLeast"/>
        <w:rPr>
          <w:rFonts w:ascii="Segoe UI" w:hAnsi="Segoe UI" w:cs="Segoe UI"/>
          <w:sz w:val="27"/>
          <w:szCs w:val="27"/>
        </w:rPr>
      </w:pPr>
      <w:r>
        <w:rPr>
          <w:rStyle w:val="Strong"/>
          <w:rFonts w:ascii="Segoe UI" w:hAnsi="Segoe UI" w:cs="Segoe UI"/>
          <w:b w:val="0"/>
          <w:bCs w:val="0"/>
        </w:rPr>
        <w:t>Tariffs and Other Authorities</w:t>
      </w:r>
    </w:p>
    <w:p w:rsidR="002C51D6" w:rsidP="002C51D6" w:rsidRDefault="002C51D6" w14:paraId="6A1B19EB" w14:textId="77777777">
      <w:pPr>
        <w:pStyle w:val="NormalWeb"/>
        <w:spacing w:line="300" w:lineRule="atLeast"/>
        <w:rPr>
          <w:rFonts w:ascii="Segoe UI" w:hAnsi="Segoe UI" w:cs="Segoe UI"/>
          <w:sz w:val="21"/>
          <w:szCs w:val="21"/>
        </w:rPr>
      </w:pPr>
      <w:r>
        <w:rPr>
          <w:rFonts w:ascii="Segoe UI" w:hAnsi="Segoe UI" w:cs="Segoe UI"/>
          <w:sz w:val="21"/>
          <w:szCs w:val="21"/>
        </w:rPr>
        <w:t>Missouri Public Service Commission</w:t>
      </w:r>
      <w:r>
        <w:rPr>
          <w:rFonts w:ascii="Segoe UI" w:hAnsi="Segoe UI" w:cs="Segoe UI"/>
          <w:sz w:val="21"/>
          <w:szCs w:val="21"/>
        </w:rPr>
        <w:br/>
      </w:r>
      <w:r>
        <w:rPr>
          <w:rFonts w:ascii="Segoe UI" w:hAnsi="Segoe UI" w:cs="Segoe UI"/>
          <w:sz w:val="21"/>
          <w:szCs w:val="21"/>
        </w:rPr>
        <w:t>MO PSC No. 6, Original Sheet No. 105</w:t>
      </w:r>
      <w:r>
        <w:rPr>
          <w:rFonts w:ascii="Segoe UI" w:hAnsi="Segoe UI" w:cs="Segoe UI"/>
          <w:sz w:val="21"/>
          <w:szCs w:val="21"/>
        </w:rPr>
        <w:br/>
      </w:r>
      <w:r>
        <w:rPr>
          <w:rFonts w:ascii="Segoe UI" w:hAnsi="Segoe UI" w:cs="Segoe UI"/>
          <w:sz w:val="21"/>
          <w:szCs w:val="21"/>
        </w:rPr>
        <w:t>(Ameren Missouri Tariff – General Rules and Regulations) ... 6, 7</w:t>
      </w:r>
    </w:p>
    <w:p w:rsidR="002C51D6" w:rsidP="002C51D6" w:rsidRDefault="002C51D6" w14:paraId="73275390" w14:textId="77777777">
      <w:pPr>
        <w:pStyle w:val="NormalWeb"/>
        <w:spacing w:line="300" w:lineRule="atLeast"/>
        <w:rPr>
          <w:rFonts w:ascii="Segoe UI" w:hAnsi="Segoe UI" w:cs="Segoe UI"/>
          <w:sz w:val="21"/>
          <w:szCs w:val="21"/>
        </w:rPr>
      </w:pPr>
    </w:p>
    <w:p w:rsidR="002C51D6" w:rsidP="002C51D6" w:rsidRDefault="00000000" w14:paraId="082E7E2A" w14:textId="77777777">
      <w:pPr>
        <w:spacing w:line="300" w:lineRule="atLeast"/>
        <w:rPr>
          <w:rFonts w:ascii="Segoe UI" w:hAnsi="Segoe UI" w:cs="Segoe UI"/>
          <w:sz w:val="21"/>
          <w:szCs w:val="21"/>
        </w:rPr>
      </w:pPr>
      <w:r>
        <w:rPr>
          <w:rFonts w:ascii="Segoe UI" w:hAnsi="Segoe UI" w:cs="Segoe UI"/>
          <w:sz w:val="21"/>
          <w:szCs w:val="21"/>
        </w:rPr>
        <w:pict w14:anchorId="6B5338C9">
          <v:rect id="_x0000_i1027" style="width:0;height:1.5pt" o:hr="t" o:hrstd="t" o:hralign="center" fillcolor="#a0a0a0" stroked="f"/>
        </w:pict>
      </w:r>
    </w:p>
    <w:p w:rsidR="002C51D6" w:rsidP="002C51D6" w:rsidRDefault="002C51D6" w14:paraId="7AAAC601" w14:textId="77777777">
      <w:pPr>
        <w:pStyle w:val="Heading1"/>
        <w:spacing w:line="300" w:lineRule="atLeast"/>
        <w:rPr>
          <w:rFonts w:ascii="Segoe UI" w:hAnsi="Segoe UI" w:cs="Segoe UI"/>
          <w:sz w:val="48"/>
          <w:szCs w:val="48"/>
        </w:rPr>
      </w:pPr>
      <w:r>
        <w:rPr>
          <w:rStyle w:val="Strong"/>
          <w:rFonts w:ascii="Segoe UI" w:hAnsi="Segoe UI" w:cs="Segoe UI"/>
          <w:b w:val="0"/>
          <w:bCs w:val="0"/>
        </w:rPr>
        <w:t>COMPLAINANT’S BRIEF</w:t>
      </w:r>
    </w:p>
    <w:p w:rsidR="002C51D6" w:rsidP="002C51D6" w:rsidRDefault="00000000" w14:paraId="047B0FC6" w14:textId="77777777">
      <w:pPr>
        <w:spacing w:line="300" w:lineRule="atLeast"/>
        <w:rPr>
          <w:rFonts w:ascii="Segoe UI" w:hAnsi="Segoe UI" w:cs="Segoe UI"/>
          <w:sz w:val="21"/>
          <w:szCs w:val="21"/>
        </w:rPr>
      </w:pPr>
      <w:r>
        <w:rPr>
          <w:rFonts w:ascii="Segoe UI" w:hAnsi="Segoe UI" w:cs="Segoe UI"/>
          <w:sz w:val="21"/>
          <w:szCs w:val="21"/>
        </w:rPr>
        <w:pict w14:anchorId="72B658A6">
          <v:rect id="_x0000_i1028" style="width:0;height:1.5pt" o:hr="t" o:hrstd="t" o:hralign="center" fillcolor="#a0a0a0" stroked="f"/>
        </w:pict>
      </w:r>
    </w:p>
    <w:p w:rsidR="002C51D6" w:rsidP="002C51D6" w:rsidRDefault="002C51D6" w14:paraId="0018D8B4" w14:textId="77777777">
      <w:pPr>
        <w:pStyle w:val="Heading2"/>
        <w:spacing w:line="300" w:lineRule="atLeast"/>
        <w:rPr>
          <w:rFonts w:ascii="Segoe UI" w:hAnsi="Segoe UI" w:cs="Segoe UI"/>
          <w:sz w:val="36"/>
          <w:szCs w:val="36"/>
        </w:rPr>
      </w:pPr>
      <w:r>
        <w:rPr>
          <w:rStyle w:val="Strong"/>
          <w:rFonts w:ascii="Segoe UI" w:hAnsi="Segoe UI" w:cs="Segoe UI"/>
          <w:b w:val="0"/>
          <w:bCs w:val="0"/>
        </w:rPr>
        <w:t>I. Questions Presented</w:t>
      </w:r>
    </w:p>
    <w:p w:rsidR="002C51D6" w:rsidP="002C51D6" w:rsidRDefault="002C51D6" w14:paraId="543E2697" w14:textId="77777777">
      <w:pPr>
        <w:pStyle w:val="NormalWeb"/>
        <w:numPr>
          <w:ilvl w:val="0"/>
          <w:numId w:val="1"/>
        </w:numPr>
        <w:spacing w:line="300" w:lineRule="atLeast"/>
        <w:rPr>
          <w:rFonts w:ascii="Segoe UI" w:hAnsi="Segoe UI" w:cs="Segoe UI"/>
          <w:sz w:val="21"/>
          <w:szCs w:val="21"/>
        </w:rPr>
      </w:pPr>
      <w:r>
        <w:rPr>
          <w:rFonts w:ascii="Segoe UI" w:hAnsi="Segoe UI" w:cs="Segoe UI"/>
          <w:sz w:val="21"/>
          <w:szCs w:val="21"/>
        </w:rPr>
        <w:t>Whether Ameren Missouri violated any applicable statutes, regulations, tariffs, or Commission Orders in connection with the electrical failure that caused damage to Complainant’s residence on September 13, 2024.</w:t>
      </w:r>
    </w:p>
    <w:p w:rsidR="002C51D6" w:rsidP="002C51D6" w:rsidRDefault="002C51D6" w14:paraId="6F5B4758" w14:textId="77777777">
      <w:pPr>
        <w:pStyle w:val="NormalWeb"/>
        <w:numPr>
          <w:ilvl w:val="0"/>
          <w:numId w:val="1"/>
        </w:numPr>
        <w:spacing w:line="300" w:lineRule="atLeast"/>
        <w:rPr>
          <w:rFonts w:ascii="Segoe UI" w:hAnsi="Segoe UI" w:cs="Segoe UI"/>
          <w:sz w:val="21"/>
          <w:szCs w:val="21"/>
        </w:rPr>
      </w:pPr>
      <w:r>
        <w:rPr>
          <w:rFonts w:ascii="Segoe UI" w:hAnsi="Segoe UI" w:cs="Segoe UI"/>
          <w:sz w:val="21"/>
          <w:szCs w:val="21"/>
        </w:rPr>
        <w:t>Whether Ameren Missouri violated any applicable statutes, regulations, tariffs, or Commission Orders in its response to the incident at Complainant’s residence on September 13, 2024.</w:t>
      </w:r>
    </w:p>
    <w:p w:rsidR="002C51D6" w:rsidP="002C51D6" w:rsidRDefault="002C51D6" w14:paraId="1BCCF64E" w14:textId="77777777">
      <w:pPr>
        <w:pStyle w:val="NormalWeb"/>
        <w:numPr>
          <w:ilvl w:val="0"/>
          <w:numId w:val="1"/>
        </w:numPr>
        <w:spacing w:line="300" w:lineRule="atLeast"/>
        <w:rPr>
          <w:rFonts w:ascii="Segoe UI" w:hAnsi="Segoe UI" w:cs="Segoe UI"/>
          <w:sz w:val="21"/>
          <w:szCs w:val="21"/>
        </w:rPr>
      </w:pPr>
      <w:r>
        <w:rPr>
          <w:rFonts w:ascii="Segoe UI" w:hAnsi="Segoe UI" w:cs="Segoe UI"/>
          <w:sz w:val="21"/>
          <w:szCs w:val="21"/>
        </w:rPr>
        <w:t>If violations are established, what relief is appropriate.</w:t>
      </w:r>
    </w:p>
    <w:p w:rsidR="002C51D6" w:rsidP="002C51D6" w:rsidRDefault="00000000" w14:paraId="2111C137" w14:textId="77777777">
      <w:pPr>
        <w:spacing w:line="300" w:lineRule="atLeast"/>
        <w:rPr>
          <w:rFonts w:ascii="Segoe UI" w:hAnsi="Segoe UI" w:cs="Segoe UI"/>
          <w:sz w:val="21"/>
          <w:szCs w:val="21"/>
        </w:rPr>
      </w:pPr>
      <w:r>
        <w:rPr>
          <w:rFonts w:ascii="Segoe UI" w:hAnsi="Segoe UI" w:cs="Segoe UI"/>
          <w:sz w:val="21"/>
          <w:szCs w:val="21"/>
        </w:rPr>
        <w:pict w14:anchorId="5873CC38">
          <v:rect id="_x0000_i1029" style="width:0;height:1.5pt" o:hr="t" o:hrstd="t" o:hralign="center" fillcolor="#a0a0a0" stroked="f"/>
        </w:pict>
      </w:r>
    </w:p>
    <w:p w:rsidR="002C51D6" w:rsidP="002C51D6" w:rsidRDefault="002C51D6" w14:paraId="412E1B45" w14:textId="77777777">
      <w:pPr>
        <w:pStyle w:val="Heading2"/>
        <w:spacing w:line="300" w:lineRule="atLeast"/>
        <w:rPr>
          <w:rFonts w:ascii="Segoe UI" w:hAnsi="Segoe UI" w:cs="Segoe UI"/>
          <w:sz w:val="36"/>
          <w:szCs w:val="36"/>
        </w:rPr>
      </w:pPr>
      <w:r>
        <w:rPr>
          <w:rStyle w:val="Strong"/>
          <w:rFonts w:ascii="Segoe UI" w:hAnsi="Segoe UI" w:cs="Segoe UI"/>
          <w:b w:val="0"/>
          <w:bCs w:val="0"/>
        </w:rPr>
        <w:t>II. Statement of Facts</w:t>
      </w:r>
    </w:p>
    <w:p w:rsidR="002C51D6" w:rsidP="002C51D6" w:rsidRDefault="002C51D6" w14:paraId="20D8FA10" w14:textId="5490204B">
      <w:pPr>
        <w:pStyle w:val="NormalWeb"/>
        <w:spacing w:line="300" w:lineRule="atLeast"/>
        <w:rPr>
          <w:rFonts w:ascii="Segoe UI" w:hAnsi="Segoe UI" w:cs="Segoe UI"/>
          <w:sz w:val="21"/>
          <w:szCs w:val="21"/>
        </w:rPr>
      </w:pPr>
      <w:r w:rsidRPr="45A614BD" w:rsidR="002C51D6">
        <w:rPr>
          <w:rFonts w:ascii="Segoe UI" w:hAnsi="Segoe UI" w:cs="Segoe UI"/>
          <w:sz w:val="21"/>
          <w:szCs w:val="21"/>
        </w:rPr>
        <w:t xml:space="preserve">On September 13, 2024, Complainant’s residence sustained significant and immediate damage because of a failure involving the electrical service line extending from Ameren Missouri’s utility pole to the home. The failure involved a compromised neutral conductor in conjunction with an energized hot </w:t>
      </w:r>
      <w:r w:rsidRPr="45A614BD" w:rsidR="2C205CB5">
        <w:rPr>
          <w:rFonts w:ascii="Segoe UI" w:hAnsi="Segoe UI" w:cs="Segoe UI"/>
          <w:sz w:val="21"/>
          <w:szCs w:val="21"/>
        </w:rPr>
        <w:t>leg</w:t>
      </w:r>
      <w:r w:rsidRPr="45A614BD" w:rsidR="002C51D6">
        <w:rPr>
          <w:rFonts w:ascii="Segoe UI" w:hAnsi="Segoe UI" w:cs="Segoe UI"/>
          <w:sz w:val="21"/>
          <w:szCs w:val="21"/>
        </w:rPr>
        <w:t xml:space="preserve"> line.</w:t>
      </w:r>
    </w:p>
    <w:p w:rsidR="002C51D6" w:rsidP="002C51D6" w:rsidRDefault="002C51D6" w14:paraId="3EFE030A" w14:textId="2AF441FA">
      <w:pPr>
        <w:pStyle w:val="NormalWeb"/>
        <w:spacing w:line="300" w:lineRule="atLeast"/>
        <w:rPr>
          <w:rFonts w:ascii="Segoe UI" w:hAnsi="Segoe UI" w:cs="Segoe UI"/>
          <w:sz w:val="21"/>
          <w:szCs w:val="21"/>
        </w:rPr>
      </w:pPr>
      <w:r w:rsidRPr="732DCF1E" w:rsidR="3C44246B">
        <w:rPr>
          <w:rFonts w:ascii="Segoe UI" w:hAnsi="Segoe UI" w:cs="Segoe UI"/>
          <w:sz w:val="21"/>
          <w:szCs w:val="21"/>
        </w:rPr>
        <w:t xml:space="preserve">This failure caused severe and rapid voltage fluctuations throughout the residence, resulting in flickering and dimming lights, unusual electrical noise, and burning odors. Despite the use of standard surge protection devices, multiple household appliances were </w:t>
      </w:r>
      <w:r w:rsidRPr="732DCF1E" w:rsidR="3C44246B">
        <w:rPr>
          <w:rFonts w:ascii="Segoe UI" w:hAnsi="Segoe UI" w:cs="Segoe UI"/>
          <w:sz w:val="21"/>
          <w:szCs w:val="21"/>
        </w:rPr>
        <w:t>immediately</w:t>
      </w:r>
      <w:r w:rsidRPr="732DCF1E" w:rsidR="3C44246B">
        <w:rPr>
          <w:rFonts w:ascii="Segoe UI" w:hAnsi="Segoe UI" w:cs="Segoe UI"/>
          <w:sz w:val="21"/>
          <w:szCs w:val="21"/>
        </w:rPr>
        <w:t xml:space="preserve"> damaged.</w:t>
      </w:r>
      <w:r w:rsidRPr="732DCF1E" w:rsidR="56CEA130">
        <w:rPr>
          <w:rFonts w:ascii="Segoe UI" w:hAnsi="Segoe UI" w:cs="Segoe UI"/>
          <w:sz w:val="21"/>
          <w:szCs w:val="21"/>
        </w:rPr>
        <w:t xml:space="preserve"> Additionally, the Complainants had to endure 8 straight days of real feal </w:t>
      </w:r>
      <w:r w:rsidRPr="732DCF1E" w:rsidR="4DF1726E">
        <w:rPr>
          <w:rFonts w:ascii="Segoe UI" w:hAnsi="Segoe UI" w:cs="Segoe UI"/>
          <w:sz w:val="21"/>
          <w:szCs w:val="21"/>
        </w:rPr>
        <w:t>temperatures</w:t>
      </w:r>
      <w:r w:rsidRPr="732DCF1E" w:rsidR="56CEA130">
        <w:rPr>
          <w:rFonts w:ascii="Segoe UI" w:hAnsi="Segoe UI" w:cs="Segoe UI"/>
          <w:sz w:val="21"/>
          <w:szCs w:val="21"/>
        </w:rPr>
        <w:t xml:space="preserve"> above </w:t>
      </w:r>
      <w:r w:rsidRPr="732DCF1E" w:rsidR="17A4F9B6">
        <w:rPr>
          <w:rFonts w:ascii="Segoe UI" w:hAnsi="Segoe UI" w:cs="Segoe UI"/>
          <w:sz w:val="21"/>
          <w:szCs w:val="21"/>
        </w:rPr>
        <w:t xml:space="preserve">90 degrees with </w:t>
      </w:r>
      <w:r w:rsidRPr="732DCF1E" w:rsidR="56CEA130">
        <w:rPr>
          <w:rFonts w:ascii="Segoe UI" w:hAnsi="Segoe UI" w:cs="Segoe UI"/>
          <w:sz w:val="21"/>
          <w:szCs w:val="21"/>
        </w:rPr>
        <w:t>no Air Conditioning</w:t>
      </w:r>
      <w:r w:rsidRPr="732DCF1E" w:rsidR="1C51A8A2">
        <w:rPr>
          <w:rFonts w:ascii="Segoe UI" w:hAnsi="Segoe UI" w:cs="Segoe UI"/>
          <w:sz w:val="21"/>
          <w:szCs w:val="21"/>
        </w:rPr>
        <w:t>, and no stove/oven for two weeks.</w:t>
      </w:r>
    </w:p>
    <w:p w:rsidR="002C51D6" w:rsidP="732DCF1E" w:rsidRDefault="002C51D6" w14:paraId="31C77E8F" w14:textId="5F0E29E3">
      <w:pPr>
        <w:pStyle w:val="Normal"/>
        <w:rPr>
          <w:rFonts w:ascii="Segoe UI" w:hAnsi="Segoe UI" w:cs="Segoe UI"/>
          <w:sz w:val="21"/>
          <w:szCs w:val="21"/>
        </w:rPr>
      </w:pPr>
      <w:r w:rsidR="3C44246B">
        <w:rPr/>
        <w:t xml:space="preserve">At the time of the occurrence, Complainant had no prior notice or knowledge of any defect in the service line. Ameren’s outage reporting systems </w:t>
      </w:r>
      <w:r w:rsidR="61CC36E6">
        <w:rPr/>
        <w:t xml:space="preserve">that are available (public website) </w:t>
      </w:r>
      <w:r w:rsidR="3C44246B">
        <w:rPr/>
        <w:t>indicated</w:t>
      </w:r>
      <w:r w:rsidR="3C44246B">
        <w:rPr/>
        <w:t xml:space="preserve"> that electrical service in the area was functioning normally. Complainant made multiple attempts to contact Ameren (substantiated in phone records) but was unable to obtain </w:t>
      </w:r>
      <w:r w:rsidR="3C44246B">
        <w:rPr/>
        <w:t>a timely</w:t>
      </w:r>
      <w:r w:rsidR="3C44246B">
        <w:rPr/>
        <w:t xml:space="preserve"> response </w:t>
      </w:r>
      <w:r w:rsidR="48215C8D">
        <w:rPr/>
        <w:t xml:space="preserve">during this emergency </w:t>
      </w:r>
      <w:r w:rsidR="3C44246B">
        <w:rPr/>
        <w:t xml:space="preserve">due </w:t>
      </w:r>
      <w:r w:rsidR="3C44246B">
        <w:rPr/>
        <w:t>to</w:t>
      </w:r>
      <w:r w:rsidR="3C44246B">
        <w:rPr/>
        <w:t xml:space="preserve"> being directed to a series of prompts.</w:t>
      </w:r>
    </w:p>
    <w:p w:rsidR="002C51D6" w:rsidP="002C51D6" w:rsidRDefault="002C51D6" w14:paraId="4D4F0B51" w14:textId="20084015">
      <w:pPr>
        <w:pStyle w:val="NormalWeb"/>
        <w:spacing w:line="300" w:lineRule="atLeast"/>
        <w:rPr>
          <w:rFonts w:ascii="Segoe UI" w:hAnsi="Segoe UI" w:cs="Segoe UI"/>
          <w:sz w:val="21"/>
          <w:szCs w:val="21"/>
        </w:rPr>
      </w:pPr>
      <w:r w:rsidRPr="732DCF1E" w:rsidR="3C44246B">
        <w:rPr>
          <w:rFonts w:ascii="Segoe UI" w:hAnsi="Segoe UI" w:cs="Segoe UI"/>
          <w:sz w:val="21"/>
          <w:szCs w:val="21"/>
        </w:rPr>
        <w:t>Believing the issue may have originated internally, Complainant contacted multiple licensed electricians. A licensed electrician</w:t>
      </w:r>
      <w:r w:rsidRPr="732DCF1E" w:rsidR="444F9315">
        <w:rPr>
          <w:rFonts w:ascii="Segoe UI" w:hAnsi="Segoe UI" w:cs="Segoe UI"/>
          <w:sz w:val="21"/>
          <w:szCs w:val="21"/>
        </w:rPr>
        <w:t xml:space="preserve"> </w:t>
      </w:r>
      <w:r w:rsidRPr="732DCF1E" w:rsidR="3C44246B">
        <w:rPr>
          <w:rFonts w:ascii="Segoe UI" w:hAnsi="Segoe UI" w:cs="Segoe UI"/>
          <w:sz w:val="21"/>
          <w:szCs w:val="21"/>
        </w:rPr>
        <w:t xml:space="preserve">ultimately made a service call and </w:t>
      </w:r>
      <w:r w:rsidRPr="732DCF1E" w:rsidR="3C44246B">
        <w:rPr>
          <w:rFonts w:ascii="Segoe UI" w:hAnsi="Segoe UI" w:cs="Segoe UI"/>
          <w:sz w:val="21"/>
          <w:szCs w:val="21"/>
        </w:rPr>
        <w:t>determined</w:t>
      </w:r>
      <w:r w:rsidRPr="732DCF1E" w:rsidR="3C44246B">
        <w:rPr>
          <w:rFonts w:ascii="Segoe UI" w:hAnsi="Segoe UI" w:cs="Segoe UI"/>
          <w:sz w:val="21"/>
          <w:szCs w:val="21"/>
        </w:rPr>
        <w:t xml:space="preserve"> that the failure was external and attributable to Ameren’s service line, specifically a failed neutral conductor.</w:t>
      </w:r>
    </w:p>
    <w:p w:rsidR="002C51D6" w:rsidP="002C51D6" w:rsidRDefault="002C51D6" w14:paraId="0AFF2E22" w14:textId="77777777">
      <w:pPr>
        <w:pStyle w:val="NormalWeb"/>
        <w:spacing w:line="300" w:lineRule="atLeast"/>
        <w:rPr>
          <w:rFonts w:ascii="Segoe UI" w:hAnsi="Segoe UI" w:cs="Segoe UI"/>
          <w:sz w:val="21"/>
          <w:szCs w:val="21"/>
        </w:rPr>
      </w:pPr>
    </w:p>
    <w:p w:rsidR="002C51D6" w:rsidP="002C51D6" w:rsidRDefault="002C51D6" w14:paraId="6C71F452" w14:textId="5348A52B">
      <w:pPr>
        <w:pStyle w:val="NormalWeb"/>
        <w:spacing w:line="300" w:lineRule="atLeast"/>
        <w:rPr>
          <w:rFonts w:ascii="Segoe UI" w:hAnsi="Segoe UI" w:cs="Segoe UI"/>
          <w:sz w:val="21"/>
          <w:szCs w:val="21"/>
        </w:rPr>
      </w:pPr>
      <w:r w:rsidRPr="732DCF1E" w:rsidR="3C44246B">
        <w:rPr>
          <w:rFonts w:ascii="Segoe UI" w:hAnsi="Segoe UI" w:cs="Segoe UI"/>
          <w:sz w:val="21"/>
          <w:szCs w:val="21"/>
        </w:rPr>
        <w:t>Complainant's spouse has testified under oath that the electrician had a direct line that the public does not have access to</w:t>
      </w:r>
      <w:r w:rsidRPr="732DCF1E" w:rsidR="6D4BEEBF">
        <w:rPr>
          <w:rFonts w:ascii="Segoe UI" w:hAnsi="Segoe UI" w:cs="Segoe UI"/>
          <w:sz w:val="21"/>
          <w:szCs w:val="21"/>
        </w:rPr>
        <w:t xml:space="preserve">. </w:t>
      </w:r>
      <w:r w:rsidRPr="732DCF1E" w:rsidR="3C44246B">
        <w:rPr>
          <w:rFonts w:ascii="Segoe UI" w:hAnsi="Segoe UI" w:cs="Segoe UI"/>
          <w:sz w:val="21"/>
          <w:szCs w:val="21"/>
        </w:rPr>
        <w:t xml:space="preserve"> </w:t>
      </w:r>
      <w:r w:rsidRPr="732DCF1E" w:rsidR="6082530C">
        <w:rPr>
          <w:rFonts w:ascii="Segoe UI" w:hAnsi="Segoe UI" w:cs="Segoe UI"/>
          <w:sz w:val="21"/>
          <w:szCs w:val="21"/>
        </w:rPr>
        <w:t>H</w:t>
      </w:r>
      <w:r w:rsidRPr="732DCF1E" w:rsidR="3C44246B">
        <w:rPr>
          <w:rFonts w:ascii="Segoe UI" w:hAnsi="Segoe UI" w:cs="Segoe UI"/>
          <w:sz w:val="21"/>
          <w:szCs w:val="21"/>
        </w:rPr>
        <w:t>e used it to contact Ameren</w:t>
      </w:r>
      <w:r w:rsidRPr="732DCF1E" w:rsidR="36B24F09">
        <w:rPr>
          <w:rFonts w:ascii="Segoe UI" w:hAnsi="Segoe UI" w:cs="Segoe UI"/>
          <w:sz w:val="21"/>
          <w:szCs w:val="21"/>
        </w:rPr>
        <w:t xml:space="preserve"> (who picked up directly and immediately</w:t>
      </w:r>
      <w:r w:rsidRPr="732DCF1E" w:rsidR="280FC307">
        <w:rPr>
          <w:rFonts w:ascii="Segoe UI" w:hAnsi="Segoe UI" w:cs="Segoe UI"/>
          <w:sz w:val="21"/>
          <w:szCs w:val="21"/>
        </w:rPr>
        <w:t>) and</w:t>
      </w:r>
      <w:r w:rsidRPr="732DCF1E" w:rsidR="280FC307">
        <w:rPr>
          <w:rFonts w:ascii="Segoe UI" w:hAnsi="Segoe UI" w:cs="Segoe UI"/>
          <w:sz w:val="21"/>
          <w:szCs w:val="21"/>
        </w:rPr>
        <w:t xml:space="preserve"> </w:t>
      </w:r>
      <w:r w:rsidRPr="732DCF1E" w:rsidR="3C44246B">
        <w:rPr>
          <w:rFonts w:ascii="Segoe UI" w:hAnsi="Segoe UI" w:cs="Segoe UI"/>
          <w:sz w:val="21"/>
          <w:szCs w:val="21"/>
        </w:rPr>
        <w:t xml:space="preserve">responded quickly only after being contacted through the electrician. By that time, </w:t>
      </w:r>
      <w:r w:rsidRPr="732DCF1E" w:rsidR="2870DEC5">
        <w:rPr>
          <w:rFonts w:ascii="Segoe UI" w:hAnsi="Segoe UI" w:cs="Segoe UI"/>
          <w:sz w:val="21"/>
          <w:szCs w:val="21"/>
        </w:rPr>
        <w:t>damage</w:t>
      </w:r>
      <w:r w:rsidRPr="732DCF1E" w:rsidR="3C44246B">
        <w:rPr>
          <w:rFonts w:ascii="Segoe UI" w:hAnsi="Segoe UI" w:cs="Segoe UI"/>
          <w:sz w:val="21"/>
          <w:szCs w:val="21"/>
        </w:rPr>
        <w:t xml:space="preserve"> to </w:t>
      </w:r>
      <w:r w:rsidRPr="732DCF1E" w:rsidR="4E6F90FE">
        <w:rPr>
          <w:rFonts w:ascii="Segoe UI" w:hAnsi="Segoe UI" w:cs="Segoe UI"/>
          <w:sz w:val="21"/>
          <w:szCs w:val="21"/>
        </w:rPr>
        <w:t>the Complainant’s</w:t>
      </w:r>
      <w:r w:rsidRPr="732DCF1E" w:rsidR="3C44246B">
        <w:rPr>
          <w:rFonts w:ascii="Segoe UI" w:hAnsi="Segoe UI" w:cs="Segoe UI"/>
          <w:sz w:val="21"/>
          <w:szCs w:val="21"/>
        </w:rPr>
        <w:t xml:space="preserve"> property had already occurred.</w:t>
      </w:r>
    </w:p>
    <w:p w:rsidR="002C51D6" w:rsidP="002C51D6" w:rsidRDefault="00000000" w14:paraId="6AB6DC15" w14:textId="77777777">
      <w:pPr>
        <w:spacing w:line="300" w:lineRule="atLeast"/>
        <w:rPr>
          <w:rFonts w:ascii="Segoe UI" w:hAnsi="Segoe UI" w:cs="Segoe UI"/>
          <w:sz w:val="21"/>
          <w:szCs w:val="21"/>
        </w:rPr>
      </w:pPr>
      <w:r>
        <w:rPr>
          <w:rFonts w:ascii="Segoe UI" w:hAnsi="Segoe UI" w:cs="Segoe UI"/>
          <w:sz w:val="21"/>
          <w:szCs w:val="21"/>
        </w:rPr>
        <w:pict w14:anchorId="6D6E5A2E">
          <v:rect id="_x0000_i1030" style="width:0;height:1.5pt" o:hr="t" o:hrstd="t" o:hralign="center" fillcolor="#a0a0a0" stroked="f"/>
        </w:pict>
      </w:r>
    </w:p>
    <w:p w:rsidR="002C51D6" w:rsidP="002C51D6" w:rsidRDefault="002C51D6" w14:paraId="0425F9DC" w14:textId="77777777">
      <w:pPr>
        <w:pStyle w:val="Heading2"/>
        <w:spacing w:line="300" w:lineRule="atLeast"/>
        <w:rPr>
          <w:rFonts w:ascii="Segoe UI" w:hAnsi="Segoe UI" w:cs="Segoe UI"/>
          <w:sz w:val="36"/>
          <w:szCs w:val="36"/>
        </w:rPr>
      </w:pPr>
      <w:r>
        <w:rPr>
          <w:rStyle w:val="Strong"/>
          <w:rFonts w:ascii="Segoe UI" w:hAnsi="Segoe UI" w:cs="Segoe UI"/>
          <w:b w:val="0"/>
          <w:bCs w:val="0"/>
        </w:rPr>
        <w:t>III. Summary of the Argument</w:t>
      </w:r>
    </w:p>
    <w:p w:rsidRPr="0003173C" w:rsidR="009E7CC1" w:rsidP="732DCF1E" w:rsidRDefault="002C51D6" w14:paraId="6AA6F7BC" w14:textId="124D111D">
      <w:pPr>
        <w:pStyle w:val="Normal"/>
        <w:rPr>
          <w:rFonts w:ascii="Segoe UI" w:hAnsi="Segoe UI" w:cs="Segoe UI"/>
          <w:sz w:val="21"/>
          <w:szCs w:val="21"/>
        </w:rPr>
      </w:pPr>
      <w:r w:rsidR="3C44246B">
        <w:rPr/>
        <w:t>Ameren Missouri contends that the incident was caused by rodent interference; however, this assertion is unsupported by contemporaneous physical evidence and rests on speculation.</w:t>
      </w:r>
      <w:r w:rsidR="46863FB7">
        <w:rPr/>
        <w:t xml:space="preserve"> While we </w:t>
      </w:r>
      <w:r w:rsidR="46863FB7">
        <w:rPr/>
        <w:t>don't</w:t>
      </w:r>
      <w:r w:rsidR="46863FB7">
        <w:rPr/>
        <w:t xml:space="preserve"> dispute that some rodents chew wires, there is no proof of that in this case other than the word of the lineman. The circumstances described by Ameren are speculative and lack plausibility, particularly </w:t>
      </w:r>
      <w:r w:rsidR="3B49A10C">
        <w:rPr/>
        <w:t>considering</w:t>
      </w:r>
      <w:r w:rsidR="46863FB7">
        <w:rPr/>
        <w:t xml:space="preserve"> the absence of any observable evidence and the configuration of the service line.</w:t>
      </w:r>
      <w:r w:rsidR="446DE153">
        <w:rPr/>
        <w:t xml:space="preserve"> Ameren </w:t>
      </w:r>
      <w:r w:rsidR="446DE153">
        <w:rPr/>
        <w:t>submitted</w:t>
      </w:r>
      <w:r w:rsidR="446DE153">
        <w:rPr/>
        <w:t xml:space="preserve"> no pictures nor </w:t>
      </w:r>
      <w:r w:rsidR="794680B5">
        <w:rPr/>
        <w:t>written</w:t>
      </w:r>
      <w:r w:rsidR="446DE153">
        <w:rPr/>
        <w:t xml:space="preserve"> reports about their findings from that date.</w:t>
      </w:r>
      <w:r w:rsidR="14F693F8">
        <w:rPr/>
        <w:t xml:space="preserve"> </w:t>
      </w:r>
      <w:r w:rsidR="46863FB7">
        <w:rPr/>
        <w:t>The</w:t>
      </w:r>
      <w:r w:rsidR="227D45DA">
        <w:rPr/>
        <w:t>ir</w:t>
      </w:r>
      <w:r w:rsidR="46863FB7">
        <w:rPr/>
        <w:t xml:space="preserve"> lineman testified that he has done thousands of this </w:t>
      </w:r>
      <w:r w:rsidR="02D48FA8">
        <w:rPr/>
        <w:t xml:space="preserve">particular </w:t>
      </w:r>
      <w:r w:rsidR="46863FB7">
        <w:rPr/>
        <w:t>repair, but we are asked to believe that he can remember this specific case out of those thousands, and nearly two years later.</w:t>
      </w:r>
      <w:r w:rsidR="46863FB7">
        <w:rPr/>
        <w:t xml:space="preserve"> Additionally, there was no rodent lying in the middle of the street nor nearby, but we were asked to believe that the rodent severed one wire and was shocked, fell to the ground, recovered and then went back up the pole and severed a different wire by chewing again. </w:t>
      </w:r>
      <w:r w:rsidR="46863FB7">
        <w:rPr/>
        <w:t>This is less likely that it happened than it happened.</w:t>
      </w:r>
      <w:r w:rsidR="46863FB7">
        <w:rPr/>
        <w:t xml:space="preserve"> While we have seen </w:t>
      </w:r>
      <w:r w:rsidR="46863FB7">
        <w:rPr/>
        <w:t>squirrels</w:t>
      </w:r>
      <w:r w:rsidR="46863FB7">
        <w:rPr/>
        <w:t xml:space="preserve"> cross on taut lines between poles of busier neighboring streets to avoid traffic, in nearly 30 years at this address we have never seen a squirrel cross this sagging line to our house over our small, 14 house, one-way street that has very little traffic. It's far easier to simply cross the street</w:t>
      </w:r>
      <w:r w:rsidR="46863FB7">
        <w:rPr/>
        <w:t>, and it seems unlikely that a squirrel would venture out over the middle of the street to chew on a sagging wire with very little support when there are plenty of easier alternatives readily available such as taut lines within feet of this.</w:t>
      </w:r>
    </w:p>
    <w:p w:rsidR="369732D3" w:rsidP="732DCF1E" w:rsidRDefault="369732D3" w14:paraId="72C15E6C" w14:textId="0EB4F63D">
      <w:pPr>
        <w:pStyle w:val="Normal"/>
      </w:pPr>
      <w:r w:rsidRPr="732DCF1E" w:rsidR="369732D3">
        <w:rPr>
          <w:noProof w:val="0"/>
          <w:lang w:val="en-US"/>
        </w:rPr>
        <w:t xml:space="preserve">Ameren further relied on undated drone photographs, </w:t>
      </w:r>
      <w:r w:rsidRPr="732DCF1E" w:rsidR="369732D3">
        <w:rPr>
          <w:noProof w:val="0"/>
          <w:lang w:val="en-US"/>
        </w:rPr>
        <w:t>submitted</w:t>
      </w:r>
      <w:r w:rsidRPr="732DCF1E" w:rsidR="369732D3">
        <w:rPr>
          <w:noProof w:val="0"/>
          <w:lang w:val="en-US"/>
        </w:rPr>
        <w:t xml:space="preserve"> as exhibits in this matter, to </w:t>
      </w:r>
      <w:r w:rsidRPr="732DCF1E" w:rsidR="369732D3">
        <w:rPr>
          <w:noProof w:val="0"/>
          <w:lang w:val="en-US"/>
        </w:rPr>
        <w:t>purportedly demonstrate</w:t>
      </w:r>
      <w:r w:rsidRPr="732DCF1E" w:rsidR="369732D3">
        <w:rPr>
          <w:noProof w:val="0"/>
          <w:lang w:val="en-US"/>
        </w:rPr>
        <w:t xml:space="preserve"> inspection and maintenance activities. However, </w:t>
      </w:r>
      <w:r w:rsidRPr="732DCF1E" w:rsidR="04D77AD4">
        <w:rPr>
          <w:noProof w:val="0"/>
          <w:lang w:val="en-US"/>
        </w:rPr>
        <w:t xml:space="preserve">given the distance of the drone from the wire, </w:t>
      </w:r>
      <w:r w:rsidRPr="732DCF1E" w:rsidR="369732D3">
        <w:rPr>
          <w:noProof w:val="0"/>
          <w:lang w:val="en-US"/>
        </w:rPr>
        <w:t>these photographs lack the level of detail necessary to meaningfully assess the condition of the subject lines. They do not establish that any inspection was conducted in a manner consistent with applicable regulatory requirements. At most, the images show that the wires remain physically connected; they provide no discernible evidence from which to evaluate whether the lines exhibit weathering, deterioration, or other conditions relevant to compliance.</w:t>
      </w:r>
    </w:p>
    <w:p w:rsidR="009E7CC1" w:rsidP="009E7CC1" w:rsidRDefault="009E7CC1" w14:paraId="0BAC59C5" w14:textId="77777777">
      <w:pPr>
        <w:pStyle w:val="NormalWeb"/>
        <w:spacing w:line="300" w:lineRule="atLeast"/>
        <w:rPr>
          <w:rFonts w:ascii="Segoe UI" w:hAnsi="Segoe UI" w:cs="Segoe UI"/>
          <w:sz w:val="21"/>
          <w:szCs w:val="21"/>
        </w:rPr>
      </w:pPr>
      <w:r>
        <w:rPr>
          <w:rFonts w:ascii="Segoe UI" w:hAnsi="Segoe UI" w:cs="Segoe UI"/>
          <w:sz w:val="21"/>
          <w:szCs w:val="21"/>
        </w:rPr>
        <w:t>Accordingly, the evidence indicates that Ameren failed to exercise the degree of care required to ensure the safety and reliability of its service infrastructure.</w:t>
      </w:r>
    </w:p>
    <w:p w:rsidR="002C51D6" w:rsidP="732DCF1E" w:rsidRDefault="002C51D6" w14:paraId="3804BBE0" w14:textId="0C329747">
      <w:pPr>
        <w:pStyle w:val="Normal"/>
        <w:rPr>
          <w:rFonts w:ascii="Segoe UI" w:hAnsi="Segoe UI" w:cs="Segoe UI"/>
          <w:sz w:val="21"/>
          <w:szCs w:val="21"/>
        </w:rPr>
      </w:pPr>
      <w:r w:rsidR="3C44246B">
        <w:rPr/>
        <w:t xml:space="preserve">Missouri law imposes a duty on utilities to exercise reasonable care in the operation and maintenance of inherently dangerous </w:t>
      </w:r>
      <w:r w:rsidR="0437BBD4">
        <w:rPr/>
        <w:t>electrical</w:t>
      </w:r>
      <w:r w:rsidR="3C44246B">
        <w:rPr/>
        <w:t xml:space="preserve"> systems. The record </w:t>
      </w:r>
      <w:r w:rsidR="3C44246B">
        <w:rPr/>
        <w:t>demonstrates</w:t>
      </w:r>
      <w:r w:rsidR="3C44246B">
        <w:rPr/>
        <w:t xml:space="preserve"> Ameren’s failure to meet that duty. Additionally, the doctrine of res ipsa loquitur independently supports an inference of </w:t>
      </w:r>
      <w:r w:rsidR="3C44246B">
        <w:rPr/>
        <w:t>negligence.</w:t>
      </w:r>
    </w:p>
    <w:p w:rsidR="002C51D6" w:rsidP="002C51D6" w:rsidRDefault="00000000" w14:paraId="28A85A84" w14:textId="77777777">
      <w:pPr>
        <w:spacing w:line="300" w:lineRule="atLeast"/>
        <w:rPr>
          <w:rFonts w:ascii="Segoe UI" w:hAnsi="Segoe UI" w:cs="Segoe UI"/>
          <w:sz w:val="21"/>
          <w:szCs w:val="21"/>
        </w:rPr>
      </w:pPr>
      <w:r>
        <w:rPr>
          <w:rFonts w:ascii="Segoe UI" w:hAnsi="Segoe UI" w:cs="Segoe UI"/>
          <w:sz w:val="21"/>
          <w:szCs w:val="21"/>
        </w:rPr>
        <w:pict w14:anchorId="3D868EBF">
          <v:rect id="_x0000_i1031" style="width:0;height:1.5pt" o:hr="t" o:hrstd="t" o:hralign="center" fillcolor="#a0a0a0" stroked="f"/>
        </w:pict>
      </w:r>
    </w:p>
    <w:p w:rsidR="002C51D6" w:rsidP="002C51D6" w:rsidRDefault="002C51D6" w14:paraId="5DA54122" w14:textId="77777777">
      <w:pPr>
        <w:pStyle w:val="Heading2"/>
        <w:spacing w:line="300" w:lineRule="atLeast"/>
        <w:rPr>
          <w:rFonts w:ascii="Segoe UI" w:hAnsi="Segoe UI" w:cs="Segoe UI"/>
          <w:sz w:val="36"/>
          <w:szCs w:val="36"/>
        </w:rPr>
      </w:pPr>
      <w:r>
        <w:rPr>
          <w:rStyle w:val="Strong"/>
          <w:rFonts w:ascii="Segoe UI" w:hAnsi="Segoe UI" w:cs="Segoe UI"/>
          <w:b w:val="0"/>
          <w:bCs w:val="0"/>
        </w:rPr>
        <w:t>IV. Argument</w:t>
      </w:r>
    </w:p>
    <w:p w:rsidR="002C51D6" w:rsidP="002C51D6" w:rsidRDefault="002C51D6" w14:paraId="27C0A49F" w14:textId="77777777">
      <w:pPr>
        <w:pStyle w:val="Heading3"/>
        <w:spacing w:line="300" w:lineRule="atLeast"/>
        <w:rPr>
          <w:rFonts w:ascii="Segoe UI" w:hAnsi="Segoe UI" w:cs="Segoe UI"/>
        </w:rPr>
      </w:pPr>
      <w:r>
        <w:rPr>
          <w:rStyle w:val="Strong"/>
          <w:rFonts w:ascii="Segoe UI" w:hAnsi="Segoe UI" w:cs="Segoe UI"/>
          <w:b w:val="0"/>
          <w:bCs w:val="0"/>
        </w:rPr>
        <w:t>A. Ameren Failed to Conduct Adequate Inspection and Maintenance of Its Service Infrastructure</w:t>
      </w:r>
    </w:p>
    <w:p w:rsidR="002C51D6" w:rsidP="002C51D6" w:rsidRDefault="002C51D6" w14:paraId="2478377D" w14:textId="77777777">
      <w:pPr>
        <w:pStyle w:val="NormalWeb"/>
        <w:spacing w:line="300" w:lineRule="atLeast"/>
        <w:rPr>
          <w:rFonts w:ascii="Segoe UI" w:hAnsi="Segoe UI" w:cs="Segoe UI"/>
          <w:sz w:val="21"/>
          <w:szCs w:val="21"/>
        </w:rPr>
      </w:pPr>
      <w:r>
        <w:rPr>
          <w:rFonts w:ascii="Segoe UI" w:hAnsi="Segoe UI" w:cs="Segoe UI"/>
          <w:sz w:val="21"/>
          <w:szCs w:val="21"/>
        </w:rPr>
        <w:t>Missouri law imposes a duty on electrical utilities to exercise reasonable care in the construction, inspection, and maintenance of their equipment.</w:t>
      </w:r>
    </w:p>
    <w:p w:rsidR="002C51D6" w:rsidP="002C51D6" w:rsidRDefault="002C51D6" w14:paraId="32F57414" w14:textId="77777777">
      <w:pPr>
        <w:pStyle w:val="NormalWeb"/>
        <w:spacing w:line="300" w:lineRule="atLeast"/>
        <w:rPr>
          <w:rFonts w:ascii="Segoe UI" w:hAnsi="Segoe UI" w:cs="Segoe UI"/>
          <w:sz w:val="21"/>
          <w:szCs w:val="21"/>
        </w:rPr>
      </w:pPr>
      <w:r>
        <w:rPr>
          <w:rFonts w:ascii="Segoe UI" w:hAnsi="Segoe UI" w:cs="Segoe UI"/>
          <w:sz w:val="21"/>
          <w:szCs w:val="21"/>
        </w:rPr>
        <w:t xml:space="preserve">In </w:t>
      </w:r>
      <w:r>
        <w:rPr>
          <w:rStyle w:val="Emphasis"/>
          <w:rFonts w:ascii="Segoe UI" w:hAnsi="Segoe UI" w:cs="Segoe UI" w:eastAsiaTheme="majorEastAsia"/>
          <w:b/>
          <w:bCs/>
          <w:sz w:val="21"/>
          <w:szCs w:val="21"/>
        </w:rPr>
        <w:t>Pierce v. Platte-Clay Elec. Coop., Inc.</w:t>
      </w:r>
      <w:r>
        <w:rPr>
          <w:rFonts w:ascii="Segoe UI" w:hAnsi="Segoe UI" w:cs="Segoe UI"/>
          <w:sz w:val="21"/>
          <w:szCs w:val="21"/>
        </w:rPr>
        <w:t xml:space="preserve">, the Missouri Supreme Court held that a plaintiff need not demonstrate a violation of industry standards to establish negligence, but rather that the utility failed to exercise reasonable care under the circumstances. </w:t>
      </w:r>
      <w:hyperlink w:history="1" r:id="rId9">
        <w:r>
          <w:rPr>
            <w:rStyle w:val="Hyperlink"/>
            <w:rFonts w:ascii="Segoe UI" w:hAnsi="Segoe UI" w:cs="Segoe UI" w:eastAsiaTheme="majorEastAsia"/>
            <w:sz w:val="21"/>
            <w:szCs w:val="21"/>
          </w:rPr>
          <w:t>[law.justia.com]</w:t>
        </w:r>
      </w:hyperlink>
    </w:p>
    <w:p w:rsidR="002C51D6" w:rsidP="002C51D6" w:rsidRDefault="002C51D6" w14:paraId="0D72E98D" w14:textId="77777777">
      <w:pPr>
        <w:pStyle w:val="NormalWeb"/>
        <w:spacing w:line="300" w:lineRule="atLeast"/>
        <w:rPr>
          <w:rFonts w:ascii="Segoe UI" w:hAnsi="Segoe UI" w:cs="Segoe UI"/>
          <w:sz w:val="21"/>
          <w:szCs w:val="21"/>
        </w:rPr>
      </w:pPr>
      <w:r>
        <w:rPr>
          <w:rFonts w:ascii="Segoe UI" w:hAnsi="Segoe UI" w:cs="Segoe UI"/>
          <w:sz w:val="21"/>
          <w:szCs w:val="21"/>
        </w:rPr>
        <w:t xml:space="preserve">Likewise, in </w:t>
      </w:r>
      <w:r>
        <w:rPr>
          <w:rStyle w:val="Emphasis"/>
          <w:rFonts w:ascii="Segoe UI" w:hAnsi="Segoe UI" w:cs="Segoe UI" w:eastAsiaTheme="majorEastAsia"/>
          <w:b/>
          <w:bCs/>
          <w:sz w:val="21"/>
          <w:szCs w:val="21"/>
        </w:rPr>
        <w:t>Goddard v. St. Joseph Light &amp; Power Co.</w:t>
      </w:r>
      <w:r>
        <w:rPr>
          <w:rFonts w:ascii="Segoe UI" w:hAnsi="Segoe UI" w:cs="Segoe UI"/>
          <w:sz w:val="21"/>
          <w:szCs w:val="21"/>
        </w:rPr>
        <w:t xml:space="preserve">, 379 S.W.2d 565 (Mo. 1964), the court recognized that negligent maintenance of electrical distribution systems may give rise to liability. </w:t>
      </w:r>
      <w:hyperlink w:history="1" r:id="rId10">
        <w:r>
          <w:rPr>
            <w:rStyle w:val="Hyperlink"/>
            <w:rFonts w:ascii="Segoe UI" w:hAnsi="Segoe UI" w:cs="Segoe UI" w:eastAsiaTheme="majorEastAsia"/>
            <w:sz w:val="21"/>
            <w:szCs w:val="21"/>
          </w:rPr>
          <w:t>[case-law.vlex.com]</w:t>
        </w:r>
      </w:hyperlink>
    </w:p>
    <w:p w:rsidR="002C51D6" w:rsidP="002C51D6" w:rsidRDefault="002C51D6" w14:paraId="0C76883D" w14:textId="77777777">
      <w:pPr>
        <w:pStyle w:val="NormalWeb"/>
        <w:spacing w:line="300" w:lineRule="atLeast"/>
        <w:rPr>
          <w:rFonts w:ascii="Segoe UI" w:hAnsi="Segoe UI" w:cs="Segoe UI"/>
          <w:sz w:val="21"/>
          <w:szCs w:val="21"/>
        </w:rPr>
      </w:pPr>
      <w:r>
        <w:rPr>
          <w:rFonts w:ascii="Segoe UI" w:hAnsi="Segoe UI" w:cs="Segoe UI"/>
          <w:sz w:val="21"/>
          <w:szCs w:val="21"/>
        </w:rPr>
        <w:t>Ameren’s reliance on undated drone photographs does not demonstrate compliance with regulatory standards. These photographs:</w:t>
      </w:r>
    </w:p>
    <w:p w:rsidR="002C51D6" w:rsidP="002C51D6" w:rsidRDefault="002C51D6" w14:paraId="3A55409C" w14:textId="77777777">
      <w:pPr>
        <w:numPr>
          <w:ilvl w:val="0"/>
          <w:numId w:val="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Lack temporal reliability,</w:t>
      </w:r>
    </w:p>
    <w:p w:rsidR="002C51D6" w:rsidP="732DCF1E" w:rsidRDefault="002C51D6" w14:paraId="739C8034" w14:textId="122DC994">
      <w:pPr>
        <w:numPr>
          <w:ilvl w:val="0"/>
          <w:numId w:val="2"/>
        </w:numPr>
        <w:spacing w:before="100" w:beforeAutospacing="on" w:after="100" w:afterAutospacing="on" w:line="300" w:lineRule="atLeast"/>
        <w:rPr>
          <w:rFonts w:ascii="Segoe UI" w:hAnsi="Segoe UI" w:cs="Segoe UI"/>
          <w:sz w:val="21"/>
          <w:szCs w:val="21"/>
        </w:rPr>
      </w:pPr>
      <w:r w:rsidRPr="732DCF1E" w:rsidR="3C44246B">
        <w:rPr>
          <w:rFonts w:ascii="Segoe UI" w:hAnsi="Segoe UI" w:cs="Segoe UI"/>
          <w:sz w:val="21"/>
          <w:szCs w:val="21"/>
        </w:rPr>
        <w:t>Do not reflect a detailed inspection</w:t>
      </w:r>
      <w:r w:rsidRPr="732DCF1E" w:rsidR="200CBA77">
        <w:rPr>
          <w:rFonts w:ascii="Segoe UI" w:hAnsi="Segoe UI" w:cs="Segoe UI"/>
          <w:sz w:val="21"/>
          <w:szCs w:val="21"/>
        </w:rPr>
        <w:t xml:space="preserve"> and done in a perfunctory manner</w:t>
      </w:r>
      <w:r w:rsidRPr="732DCF1E" w:rsidR="3C44246B">
        <w:rPr>
          <w:rFonts w:ascii="Segoe UI" w:hAnsi="Segoe UI" w:cs="Segoe UI"/>
          <w:sz w:val="21"/>
          <w:szCs w:val="21"/>
        </w:rPr>
        <w:t>,</w:t>
      </w:r>
    </w:p>
    <w:p w:rsidR="002C51D6" w:rsidP="002C51D6" w:rsidRDefault="002C51D6" w14:paraId="55EF3B6F" w14:textId="7F686864">
      <w:pPr>
        <w:numPr>
          <w:ilvl w:val="0"/>
          <w:numId w:val="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Fail to show the condition of critical components</w:t>
      </w:r>
      <w:r w:rsidR="009E7CC1">
        <w:rPr>
          <w:rFonts w:ascii="Segoe UI" w:hAnsi="Segoe UI" w:cs="Segoe UI"/>
          <w:sz w:val="21"/>
          <w:szCs w:val="21"/>
        </w:rPr>
        <w:t>, only showing that the line is connected.</w:t>
      </w:r>
    </w:p>
    <w:p w:rsidR="002C51D6" w:rsidP="002C51D6" w:rsidRDefault="002C51D6" w14:paraId="55C7E492" w14:textId="77777777">
      <w:pPr>
        <w:pStyle w:val="NormalWeb"/>
        <w:spacing w:line="300" w:lineRule="atLeast"/>
        <w:rPr>
          <w:rFonts w:ascii="Segoe UI" w:hAnsi="Segoe UI" w:cs="Segoe UI"/>
          <w:sz w:val="21"/>
          <w:szCs w:val="21"/>
        </w:rPr>
      </w:pPr>
      <w:r>
        <w:rPr>
          <w:rFonts w:ascii="Segoe UI" w:hAnsi="Segoe UI" w:cs="Segoe UI"/>
          <w:sz w:val="21"/>
          <w:szCs w:val="21"/>
        </w:rPr>
        <w:t xml:space="preserve">Missouri regulation </w:t>
      </w:r>
      <w:r>
        <w:rPr>
          <w:rStyle w:val="Strong"/>
          <w:rFonts w:ascii="Segoe UI" w:hAnsi="Segoe UI" w:cs="Segoe UI" w:eastAsiaTheme="majorEastAsia"/>
          <w:sz w:val="21"/>
          <w:szCs w:val="21"/>
        </w:rPr>
        <w:t>4 CSR 240-23.020</w:t>
      </w:r>
      <w:r>
        <w:rPr>
          <w:rFonts w:ascii="Segoe UI" w:hAnsi="Segoe UI" w:cs="Segoe UI"/>
          <w:sz w:val="21"/>
          <w:szCs w:val="21"/>
        </w:rPr>
        <w:t xml:space="preserve"> requires a “detailed inspection,” meaning careful examination of individual components. Ameren has not demonstrated that such an inspection occurred.</w:t>
      </w:r>
    </w:p>
    <w:p w:rsidR="002C51D6" w:rsidP="002C51D6" w:rsidRDefault="002C51D6" w14:paraId="7098874F" w14:textId="2270BF5C">
      <w:pPr>
        <w:pStyle w:val="NormalWeb"/>
        <w:spacing w:line="300" w:lineRule="atLeast"/>
        <w:rPr>
          <w:rFonts w:ascii="Segoe UI" w:hAnsi="Segoe UI" w:cs="Segoe UI"/>
          <w:sz w:val="21"/>
          <w:szCs w:val="21"/>
        </w:rPr>
      </w:pPr>
      <w:r>
        <w:rPr>
          <w:rFonts w:ascii="Segoe UI" w:hAnsi="Segoe UI" w:cs="Segoe UI"/>
          <w:sz w:val="21"/>
          <w:szCs w:val="21"/>
        </w:rPr>
        <w:t>Given the well-known risk of neutral line</w:t>
      </w:r>
      <w:r w:rsidR="0003173C">
        <w:rPr>
          <w:rFonts w:ascii="Segoe UI" w:hAnsi="Segoe UI" w:cs="Segoe UI"/>
          <w:sz w:val="21"/>
          <w:szCs w:val="21"/>
        </w:rPr>
        <w:t xml:space="preserve"> </w:t>
      </w:r>
      <w:r w:rsidRPr="0003173C" w:rsidR="0003173C">
        <w:rPr>
          <w:rFonts w:ascii="Segoe UI" w:hAnsi="Segoe UI" w:cs="Segoe UI"/>
          <w:b/>
          <w:bCs/>
          <w:i/>
          <w:iCs/>
          <w:sz w:val="21"/>
          <w:szCs w:val="21"/>
        </w:rPr>
        <w:t>and</w:t>
      </w:r>
      <w:r w:rsidR="0003173C">
        <w:rPr>
          <w:rFonts w:ascii="Segoe UI" w:hAnsi="Segoe UI" w:cs="Segoe UI"/>
          <w:sz w:val="21"/>
          <w:szCs w:val="21"/>
        </w:rPr>
        <w:t xml:space="preserve"> hot leg</w:t>
      </w:r>
      <w:r>
        <w:rPr>
          <w:rFonts w:ascii="Segoe UI" w:hAnsi="Segoe UI" w:cs="Segoe UI"/>
          <w:sz w:val="21"/>
          <w:szCs w:val="21"/>
        </w:rPr>
        <w:t xml:space="preserve"> failure and resultant voltage imbalance, Ameren’s failure to perform adequate inspection constitutes a breach of its duty of care.</w:t>
      </w:r>
    </w:p>
    <w:p w:rsidR="002C51D6" w:rsidP="002C51D6" w:rsidRDefault="00000000" w14:paraId="268BCC79" w14:textId="77777777">
      <w:pPr>
        <w:spacing w:line="300" w:lineRule="atLeast"/>
        <w:rPr>
          <w:rFonts w:ascii="Segoe UI" w:hAnsi="Segoe UI" w:cs="Segoe UI"/>
          <w:sz w:val="21"/>
          <w:szCs w:val="21"/>
        </w:rPr>
      </w:pPr>
      <w:r>
        <w:rPr>
          <w:rFonts w:ascii="Segoe UI" w:hAnsi="Segoe UI" w:cs="Segoe UI"/>
          <w:sz w:val="21"/>
          <w:szCs w:val="21"/>
        </w:rPr>
        <w:pict w14:anchorId="6E1F0EEC">
          <v:rect id="_x0000_i1032" style="width:0;height:1.5pt" o:hr="t" o:hrstd="t" o:hralign="center" fillcolor="#a0a0a0" stroked="f"/>
        </w:pict>
      </w:r>
    </w:p>
    <w:p w:rsidR="002C51D6" w:rsidP="002C51D6" w:rsidRDefault="002C51D6" w14:paraId="5C3011A7" w14:textId="77777777">
      <w:pPr>
        <w:pStyle w:val="Heading3"/>
        <w:spacing w:line="300" w:lineRule="atLeast"/>
        <w:rPr>
          <w:rFonts w:ascii="Segoe UI" w:hAnsi="Segoe UI" w:cs="Segoe UI"/>
          <w:sz w:val="27"/>
          <w:szCs w:val="27"/>
        </w:rPr>
      </w:pPr>
      <w:r>
        <w:rPr>
          <w:rStyle w:val="Strong"/>
          <w:rFonts w:ascii="Segoe UI" w:hAnsi="Segoe UI" w:cs="Segoe UI"/>
          <w:b w:val="0"/>
          <w:bCs w:val="0"/>
        </w:rPr>
        <w:t>B. Ameren’s Attribution of the Failure to Rodent Activity Is Unsupported by Evidence</w:t>
      </w:r>
    </w:p>
    <w:p w:rsidR="002C51D6" w:rsidP="002C51D6" w:rsidRDefault="002C51D6" w14:paraId="3B220963" w14:textId="77777777">
      <w:pPr>
        <w:pStyle w:val="NormalWeb"/>
        <w:spacing w:line="300" w:lineRule="atLeast"/>
        <w:rPr>
          <w:rFonts w:ascii="Segoe UI" w:hAnsi="Segoe UI" w:cs="Segoe UI"/>
          <w:sz w:val="21"/>
          <w:szCs w:val="21"/>
        </w:rPr>
      </w:pPr>
      <w:r>
        <w:rPr>
          <w:rFonts w:ascii="Segoe UI" w:hAnsi="Segoe UI" w:cs="Segoe UI"/>
          <w:sz w:val="21"/>
          <w:szCs w:val="21"/>
        </w:rPr>
        <w:t>Ameren attributes the incident to rodent activity but provides no physical or contemporaneous evidence to substantiate this claim.</w:t>
      </w:r>
    </w:p>
    <w:p w:rsidR="002C51D6" w:rsidP="002C51D6" w:rsidRDefault="002C51D6" w14:paraId="23CEED03" w14:textId="77777777">
      <w:pPr>
        <w:pStyle w:val="NormalWeb"/>
        <w:spacing w:line="300" w:lineRule="atLeast"/>
        <w:rPr>
          <w:rFonts w:ascii="Segoe UI" w:hAnsi="Segoe UI" w:cs="Segoe UI"/>
          <w:sz w:val="21"/>
          <w:szCs w:val="21"/>
        </w:rPr>
      </w:pPr>
      <w:r>
        <w:rPr>
          <w:rFonts w:ascii="Segoe UI" w:hAnsi="Segoe UI" w:cs="Segoe UI"/>
          <w:sz w:val="21"/>
          <w:szCs w:val="21"/>
        </w:rPr>
        <w:t xml:space="preserve">Missouri courts require that causation defenses be supported by credible evidence rather than speculation. </w:t>
      </w:r>
      <w:r>
        <w:rPr>
          <w:rStyle w:val="Emphasis"/>
          <w:rFonts w:ascii="Segoe UI" w:hAnsi="Segoe UI" w:cs="Segoe UI" w:eastAsiaTheme="majorEastAsia"/>
          <w:b/>
          <w:bCs/>
          <w:sz w:val="21"/>
          <w:szCs w:val="21"/>
        </w:rPr>
        <w:t>Pierce</w:t>
      </w:r>
      <w:r>
        <w:rPr>
          <w:rFonts w:ascii="Segoe UI" w:hAnsi="Segoe UI" w:cs="Segoe UI"/>
          <w:sz w:val="21"/>
          <w:szCs w:val="21"/>
        </w:rPr>
        <w:t xml:space="preserve"> reinforces that negligence determinations must be grounded in facts and reasonable inferences, not conjecture. </w:t>
      </w:r>
      <w:hyperlink w:history="1" r:id="rId11">
        <w:r>
          <w:rPr>
            <w:rStyle w:val="Hyperlink"/>
            <w:rFonts w:ascii="Segoe UI" w:hAnsi="Segoe UI" w:cs="Segoe UI" w:eastAsiaTheme="majorEastAsia"/>
            <w:sz w:val="21"/>
            <w:szCs w:val="21"/>
          </w:rPr>
          <w:t>[law.justia.com]</w:t>
        </w:r>
      </w:hyperlink>
    </w:p>
    <w:p w:rsidR="002C51D6" w:rsidP="002C51D6" w:rsidRDefault="002C51D6" w14:paraId="546761F5" w14:textId="77777777">
      <w:pPr>
        <w:pStyle w:val="NormalWeb"/>
        <w:spacing w:line="300" w:lineRule="atLeast"/>
        <w:rPr>
          <w:rFonts w:ascii="Segoe UI" w:hAnsi="Segoe UI" w:cs="Segoe UI"/>
          <w:sz w:val="21"/>
          <w:szCs w:val="21"/>
        </w:rPr>
      </w:pPr>
      <w:r>
        <w:rPr>
          <w:rFonts w:ascii="Segoe UI" w:hAnsi="Segoe UI" w:cs="Segoe UI"/>
          <w:sz w:val="21"/>
          <w:szCs w:val="21"/>
        </w:rPr>
        <w:t>Here, Ameren’s explanation relies only on generalized experience rather than incident-specific proof. Without supporting evidence, the explanation cannot rebut the inference of negligence arising from the failure of equipment under Ameren’s control.</w:t>
      </w:r>
    </w:p>
    <w:p w:rsidR="002C51D6" w:rsidP="002C51D6" w:rsidRDefault="00000000" w14:paraId="1D25D3FD" w14:textId="77777777">
      <w:pPr>
        <w:spacing w:line="300" w:lineRule="atLeast"/>
        <w:rPr>
          <w:rFonts w:ascii="Segoe UI" w:hAnsi="Segoe UI" w:cs="Segoe UI"/>
          <w:sz w:val="21"/>
          <w:szCs w:val="21"/>
        </w:rPr>
      </w:pPr>
      <w:r>
        <w:rPr>
          <w:rFonts w:ascii="Segoe UI" w:hAnsi="Segoe UI" w:cs="Segoe UI"/>
          <w:sz w:val="21"/>
          <w:szCs w:val="21"/>
        </w:rPr>
        <w:pict w14:anchorId="388C7643">
          <v:rect id="_x0000_i1033" style="width:0;height:1.5pt" o:hr="t" o:hrstd="t" o:hralign="center" fillcolor="#a0a0a0" stroked="f"/>
        </w:pict>
      </w:r>
    </w:p>
    <w:p w:rsidR="002C51D6" w:rsidP="002C51D6" w:rsidRDefault="002C51D6" w14:paraId="4F425E89" w14:textId="77777777">
      <w:pPr>
        <w:pStyle w:val="Heading3"/>
        <w:spacing w:line="300" w:lineRule="atLeast"/>
        <w:rPr>
          <w:rFonts w:ascii="Segoe UI" w:hAnsi="Segoe UI" w:cs="Segoe UI"/>
          <w:sz w:val="27"/>
          <w:szCs w:val="27"/>
        </w:rPr>
      </w:pPr>
      <w:r>
        <w:rPr>
          <w:rStyle w:val="Strong"/>
          <w:rFonts w:ascii="Segoe UI" w:hAnsi="Segoe UI" w:cs="Segoe UI"/>
          <w:b w:val="0"/>
          <w:bCs w:val="0"/>
        </w:rPr>
        <w:t>C. Ameren Failed to Respond to a Dangerous Condition Within a Reasonable Time</w:t>
      </w:r>
    </w:p>
    <w:p w:rsidR="002C51D6" w:rsidP="002C51D6" w:rsidRDefault="002C51D6" w14:paraId="40318E81" w14:textId="77777777">
      <w:pPr>
        <w:pStyle w:val="NormalWeb"/>
        <w:spacing w:line="300" w:lineRule="atLeast"/>
        <w:rPr>
          <w:rFonts w:ascii="Segoe UI" w:hAnsi="Segoe UI" w:cs="Segoe UI"/>
          <w:sz w:val="21"/>
          <w:szCs w:val="21"/>
        </w:rPr>
      </w:pPr>
      <w:r>
        <w:rPr>
          <w:rFonts w:ascii="Segoe UI" w:hAnsi="Segoe UI" w:cs="Segoe UI"/>
          <w:sz w:val="21"/>
          <w:szCs w:val="21"/>
        </w:rPr>
        <w:t>Missouri law recognizes that a utility’s duty extends to timely mitigation of hazardous conditions.</w:t>
      </w:r>
    </w:p>
    <w:p w:rsidR="002C51D6" w:rsidP="002C51D6" w:rsidRDefault="002C51D6" w14:paraId="4834B172" w14:textId="77777777">
      <w:pPr>
        <w:pStyle w:val="NormalWeb"/>
        <w:spacing w:line="300" w:lineRule="atLeast"/>
        <w:rPr>
          <w:rFonts w:ascii="Segoe UI" w:hAnsi="Segoe UI" w:cs="Segoe UI"/>
          <w:sz w:val="21"/>
          <w:szCs w:val="21"/>
        </w:rPr>
      </w:pPr>
      <w:r>
        <w:rPr>
          <w:rFonts w:ascii="Segoe UI" w:hAnsi="Segoe UI" w:cs="Segoe UI"/>
          <w:sz w:val="21"/>
          <w:szCs w:val="21"/>
        </w:rPr>
        <w:t xml:space="preserve">In </w:t>
      </w:r>
      <w:r>
        <w:rPr>
          <w:rStyle w:val="Emphasis"/>
          <w:rFonts w:ascii="Segoe UI" w:hAnsi="Segoe UI" w:cs="Segoe UI" w:eastAsiaTheme="majorEastAsia"/>
          <w:b/>
          <w:bCs/>
          <w:sz w:val="21"/>
          <w:szCs w:val="21"/>
        </w:rPr>
        <w:t>Grattan v. Union Electric Co.</w:t>
      </w:r>
      <w:r>
        <w:rPr>
          <w:rFonts w:ascii="Segoe UI" w:hAnsi="Segoe UI" w:cs="Segoe UI"/>
          <w:sz w:val="21"/>
          <w:szCs w:val="21"/>
        </w:rPr>
        <w:t xml:space="preserve">, 151 S.W.3d 59 (Mo. banc 2004), the Missouri Supreme Court held that a utility may be liable for failing to act within a reasonable time to de-energize or correct a dangerous condition. </w:t>
      </w:r>
      <w:hyperlink w:history="1" r:id="rId12">
        <w:r>
          <w:rPr>
            <w:rStyle w:val="Hyperlink"/>
            <w:rFonts w:ascii="Segoe UI" w:hAnsi="Segoe UI" w:cs="Segoe UI" w:eastAsiaTheme="majorEastAsia"/>
            <w:sz w:val="21"/>
            <w:szCs w:val="21"/>
          </w:rPr>
          <w:t>[law.justia.com]</w:t>
        </w:r>
      </w:hyperlink>
    </w:p>
    <w:p w:rsidR="002C51D6" w:rsidP="002C51D6" w:rsidRDefault="002C51D6" w14:paraId="2888404D" w14:textId="77777777">
      <w:pPr>
        <w:pStyle w:val="NormalWeb"/>
        <w:spacing w:line="300" w:lineRule="atLeast"/>
        <w:rPr>
          <w:rFonts w:ascii="Segoe UI" w:hAnsi="Segoe UI" w:cs="Segoe UI"/>
          <w:sz w:val="21"/>
          <w:szCs w:val="21"/>
        </w:rPr>
      </w:pPr>
      <w:r>
        <w:rPr>
          <w:rFonts w:ascii="Segoe UI" w:hAnsi="Segoe UI" w:cs="Segoe UI"/>
          <w:sz w:val="21"/>
          <w:szCs w:val="21"/>
        </w:rPr>
        <w:t>Here:</w:t>
      </w:r>
    </w:p>
    <w:p w:rsidR="002C51D6" w:rsidP="002C51D6" w:rsidRDefault="002C51D6" w14:paraId="0E17944E" w14:textId="77777777">
      <w:pPr>
        <w:numPr>
          <w:ilvl w:val="0"/>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Ameren’s system reported normal service despite dangerous conditions;</w:t>
      </w:r>
    </w:p>
    <w:p w:rsidR="002C51D6" w:rsidP="732DCF1E" w:rsidRDefault="002C51D6" w14:paraId="39A12F01" w14:textId="398FB367">
      <w:pPr>
        <w:numPr>
          <w:ilvl w:val="0"/>
          <w:numId w:val="3"/>
        </w:numPr>
        <w:spacing w:before="100" w:beforeAutospacing="on" w:after="100" w:afterAutospacing="on" w:line="300" w:lineRule="atLeast"/>
        <w:rPr>
          <w:rFonts w:ascii="Segoe UI" w:hAnsi="Segoe UI" w:cs="Segoe UI"/>
          <w:sz w:val="21"/>
          <w:szCs w:val="21"/>
        </w:rPr>
      </w:pPr>
      <w:r w:rsidRPr="732DCF1E" w:rsidR="3C44246B">
        <w:rPr>
          <w:rFonts w:ascii="Segoe UI" w:hAnsi="Segoe UI" w:cs="Segoe UI"/>
          <w:sz w:val="21"/>
          <w:szCs w:val="21"/>
        </w:rPr>
        <w:t>Complainant’s attempts to reach Ameren were unsuccessful</w:t>
      </w:r>
      <w:r w:rsidRPr="732DCF1E" w:rsidR="73A9A6AF">
        <w:rPr>
          <w:rFonts w:ascii="Segoe UI" w:hAnsi="Segoe UI" w:cs="Segoe UI"/>
          <w:sz w:val="21"/>
          <w:szCs w:val="21"/>
        </w:rPr>
        <w:t xml:space="preserve"> during what Ameren admits is a stressful </w:t>
      </w:r>
      <w:r w:rsidRPr="732DCF1E" w:rsidR="73A9A6AF">
        <w:rPr>
          <w:rFonts w:ascii="Segoe UI" w:hAnsi="Segoe UI" w:cs="Segoe UI"/>
          <w:sz w:val="21"/>
          <w:szCs w:val="21"/>
        </w:rPr>
        <w:t>emergency</w:t>
      </w:r>
      <w:r w:rsidRPr="732DCF1E" w:rsidR="3C44246B">
        <w:rPr>
          <w:rFonts w:ascii="Segoe UI" w:hAnsi="Segoe UI" w:cs="Segoe UI"/>
          <w:sz w:val="21"/>
          <w:szCs w:val="21"/>
        </w:rPr>
        <w:t>;</w:t>
      </w:r>
    </w:p>
    <w:p w:rsidR="002C51D6" w:rsidP="002C51D6" w:rsidRDefault="002C51D6" w14:paraId="77951BD1" w14:textId="77777777">
      <w:pPr>
        <w:numPr>
          <w:ilvl w:val="0"/>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Response occurred only after third-party intervention.</w:t>
      </w:r>
    </w:p>
    <w:p w:rsidR="002C51D6" w:rsidP="002C51D6" w:rsidRDefault="002C51D6" w14:paraId="2E5914B1" w14:textId="77777777">
      <w:pPr>
        <w:pStyle w:val="NormalWeb"/>
        <w:spacing w:line="300" w:lineRule="atLeast"/>
        <w:rPr>
          <w:rFonts w:ascii="Segoe UI" w:hAnsi="Segoe UI" w:cs="Segoe UI"/>
          <w:sz w:val="21"/>
          <w:szCs w:val="21"/>
        </w:rPr>
      </w:pPr>
      <w:r>
        <w:rPr>
          <w:rFonts w:ascii="Segoe UI" w:hAnsi="Segoe UI" w:cs="Segoe UI"/>
          <w:sz w:val="21"/>
          <w:szCs w:val="21"/>
        </w:rPr>
        <w:t>This delay allowed the hazardous condition to persist and contributed to the resulting damage.</w:t>
      </w:r>
    </w:p>
    <w:p w:rsidR="002C51D6" w:rsidP="002C51D6" w:rsidRDefault="00000000" w14:paraId="2A7B9634" w14:textId="77777777">
      <w:pPr>
        <w:spacing w:line="300" w:lineRule="atLeast"/>
        <w:rPr>
          <w:rFonts w:ascii="Segoe UI" w:hAnsi="Segoe UI" w:cs="Segoe UI"/>
          <w:sz w:val="21"/>
          <w:szCs w:val="21"/>
        </w:rPr>
      </w:pPr>
      <w:r>
        <w:rPr>
          <w:rFonts w:ascii="Segoe UI" w:hAnsi="Segoe UI" w:cs="Segoe UI"/>
          <w:sz w:val="21"/>
          <w:szCs w:val="21"/>
        </w:rPr>
        <w:pict w14:anchorId="7FA1ABFF">
          <v:rect id="_x0000_i1034" style="width:0;height:1.5pt" o:hr="t" o:hrstd="t" o:hralign="center" fillcolor="#a0a0a0" stroked="f"/>
        </w:pict>
      </w:r>
    </w:p>
    <w:p w:rsidR="002C51D6" w:rsidP="002C51D6" w:rsidRDefault="002C51D6" w14:paraId="623E22CE" w14:textId="77777777">
      <w:pPr>
        <w:pStyle w:val="Heading3"/>
        <w:spacing w:line="300" w:lineRule="atLeast"/>
        <w:rPr>
          <w:rFonts w:ascii="Segoe UI" w:hAnsi="Segoe UI" w:cs="Segoe UI"/>
          <w:sz w:val="27"/>
          <w:szCs w:val="27"/>
        </w:rPr>
      </w:pPr>
      <w:r>
        <w:rPr>
          <w:rStyle w:val="Strong"/>
          <w:rFonts w:ascii="Segoe UI" w:hAnsi="Segoe UI" w:cs="Segoe UI"/>
          <w:b w:val="0"/>
          <w:bCs w:val="0"/>
        </w:rPr>
        <w:t>D. Missouri Law Recognizes the High Degree of Care Required in Electrical Distribution</w:t>
      </w:r>
    </w:p>
    <w:p w:rsidR="002C51D6" w:rsidP="002C51D6" w:rsidRDefault="002C51D6" w14:paraId="04CA117B" w14:textId="77777777">
      <w:pPr>
        <w:pStyle w:val="NormalWeb"/>
        <w:spacing w:line="300" w:lineRule="atLeast"/>
        <w:rPr>
          <w:rFonts w:ascii="Segoe UI" w:hAnsi="Segoe UI" w:cs="Segoe UI"/>
          <w:sz w:val="21"/>
          <w:szCs w:val="21"/>
        </w:rPr>
      </w:pPr>
      <w:r>
        <w:rPr>
          <w:rFonts w:ascii="Segoe UI" w:hAnsi="Segoe UI" w:cs="Segoe UI"/>
          <w:sz w:val="21"/>
          <w:szCs w:val="21"/>
        </w:rPr>
        <w:t>Electricity is an inherently dangerous instrumentality requiring heightened diligence.</w:t>
      </w:r>
    </w:p>
    <w:p w:rsidR="002C51D6" w:rsidP="002C51D6" w:rsidRDefault="002C51D6" w14:paraId="570D4A96" w14:textId="77777777">
      <w:pPr>
        <w:pStyle w:val="NormalWeb"/>
        <w:spacing w:line="300" w:lineRule="atLeast"/>
        <w:rPr>
          <w:rFonts w:ascii="Segoe UI" w:hAnsi="Segoe UI" w:cs="Segoe UI"/>
          <w:sz w:val="21"/>
          <w:szCs w:val="21"/>
        </w:rPr>
      </w:pPr>
      <w:r>
        <w:rPr>
          <w:rFonts w:ascii="Segoe UI" w:hAnsi="Segoe UI" w:cs="Segoe UI"/>
          <w:sz w:val="21"/>
          <w:szCs w:val="21"/>
        </w:rPr>
        <w:t xml:space="preserve">In </w:t>
      </w:r>
      <w:r>
        <w:rPr>
          <w:rStyle w:val="Emphasis"/>
          <w:rFonts w:ascii="Segoe UI" w:hAnsi="Segoe UI" w:cs="Segoe UI" w:eastAsiaTheme="majorEastAsia"/>
          <w:b/>
          <w:bCs/>
          <w:sz w:val="21"/>
          <w:szCs w:val="21"/>
        </w:rPr>
        <w:t>Mobley v. Webster Electric Cooperative</w:t>
      </w:r>
      <w:r>
        <w:rPr>
          <w:rFonts w:ascii="Segoe UI" w:hAnsi="Segoe UI" w:cs="Segoe UI"/>
          <w:sz w:val="21"/>
          <w:szCs w:val="21"/>
        </w:rPr>
        <w:t xml:space="preserve">, Missouri courts recognized that suppliers of electricity must exercise a high degree of care due to the foreseeability of injury. </w:t>
      </w:r>
      <w:hyperlink w:history="1" r:id="rId13">
        <w:r>
          <w:rPr>
            <w:rStyle w:val="Hyperlink"/>
            <w:rFonts w:ascii="Segoe UI" w:hAnsi="Segoe UI" w:cs="Segoe UI" w:eastAsiaTheme="majorEastAsia"/>
            <w:sz w:val="21"/>
            <w:szCs w:val="21"/>
          </w:rPr>
          <w:t>[studicata.com]</w:t>
        </w:r>
      </w:hyperlink>
    </w:p>
    <w:p w:rsidR="002C51D6" w:rsidP="002C51D6" w:rsidRDefault="002C51D6" w14:paraId="33F35175" w14:textId="2FE8A370">
      <w:pPr>
        <w:pStyle w:val="NormalWeb"/>
        <w:spacing w:line="300" w:lineRule="atLeast"/>
        <w:rPr>
          <w:rFonts w:ascii="Segoe UI" w:hAnsi="Segoe UI" w:cs="Segoe UI"/>
          <w:sz w:val="21"/>
          <w:szCs w:val="21"/>
        </w:rPr>
      </w:pPr>
      <w:r w:rsidRPr="732DCF1E" w:rsidR="3C44246B">
        <w:rPr>
          <w:rFonts w:ascii="Segoe UI" w:hAnsi="Segoe UI" w:cs="Segoe UI"/>
          <w:sz w:val="21"/>
          <w:szCs w:val="21"/>
        </w:rPr>
        <w:t>The type of failure</w:t>
      </w:r>
      <w:r w:rsidRPr="732DCF1E" w:rsidR="0E954FAB">
        <w:rPr>
          <w:rFonts w:ascii="Segoe UI" w:hAnsi="Segoe UI" w:cs="Segoe UI"/>
          <w:sz w:val="21"/>
          <w:szCs w:val="21"/>
        </w:rPr>
        <w:t>s</w:t>
      </w:r>
      <w:r w:rsidRPr="732DCF1E" w:rsidR="3C44246B">
        <w:rPr>
          <w:rFonts w:ascii="Segoe UI" w:hAnsi="Segoe UI" w:cs="Segoe UI"/>
          <w:sz w:val="21"/>
          <w:szCs w:val="21"/>
        </w:rPr>
        <w:t xml:space="preserve"> at issue</w:t>
      </w:r>
      <w:r w:rsidRPr="732DCF1E" w:rsidR="4CBC47D4">
        <w:rPr>
          <w:rFonts w:ascii="Segoe UI" w:hAnsi="Segoe UI" w:cs="Segoe UI"/>
          <w:sz w:val="21"/>
          <w:szCs w:val="21"/>
        </w:rPr>
        <w:t>,</w:t>
      </w:r>
      <w:r w:rsidRPr="732DCF1E" w:rsidR="4CBC47D4">
        <w:rPr>
          <w:rFonts w:ascii="Segoe UI" w:hAnsi="Segoe UI" w:cs="Segoe UI"/>
          <w:sz w:val="21"/>
          <w:szCs w:val="21"/>
        </w:rPr>
        <w:t xml:space="preserve"> </w:t>
      </w:r>
      <w:r w:rsidRPr="732DCF1E" w:rsidR="3C44246B">
        <w:rPr>
          <w:rFonts w:ascii="Segoe UI" w:hAnsi="Segoe UI" w:cs="Segoe UI"/>
          <w:sz w:val="21"/>
          <w:szCs w:val="21"/>
        </w:rPr>
        <w:t>a</w:t>
      </w:r>
      <w:r w:rsidRPr="732DCF1E" w:rsidR="3C44246B">
        <w:rPr>
          <w:rFonts w:ascii="Segoe UI" w:hAnsi="Segoe UI" w:cs="Segoe UI"/>
          <w:sz w:val="21"/>
          <w:szCs w:val="21"/>
        </w:rPr>
        <w:t xml:space="preserve"> neutral line </w:t>
      </w:r>
      <w:r w:rsidRPr="732DCF1E" w:rsidR="2882504B">
        <w:rPr>
          <w:rFonts w:ascii="Segoe UI" w:hAnsi="Segoe UI" w:cs="Segoe UI"/>
          <w:sz w:val="21"/>
          <w:szCs w:val="21"/>
        </w:rPr>
        <w:t xml:space="preserve">and hot leg </w:t>
      </w:r>
      <w:r w:rsidRPr="732DCF1E" w:rsidR="3C44246B">
        <w:rPr>
          <w:rFonts w:ascii="Segoe UI" w:hAnsi="Segoe UI" w:cs="Segoe UI"/>
          <w:sz w:val="21"/>
          <w:szCs w:val="21"/>
        </w:rPr>
        <w:t>failure resulting in destructive voltage fluctuation</w:t>
      </w:r>
      <w:r w:rsidRPr="732DCF1E" w:rsidR="0CD027E0">
        <w:rPr>
          <w:rFonts w:ascii="Segoe UI" w:hAnsi="Segoe UI" w:cs="Segoe UI"/>
          <w:sz w:val="21"/>
          <w:szCs w:val="21"/>
        </w:rPr>
        <w:t xml:space="preserve">, are </w:t>
      </w:r>
      <w:r w:rsidRPr="732DCF1E" w:rsidR="3C44246B">
        <w:rPr>
          <w:rFonts w:ascii="Segoe UI" w:hAnsi="Segoe UI" w:cs="Segoe UI"/>
          <w:sz w:val="21"/>
          <w:szCs w:val="21"/>
        </w:rPr>
        <w:t>known and foreseeable risk</w:t>
      </w:r>
      <w:r w:rsidRPr="732DCF1E" w:rsidR="225E6F85">
        <w:rPr>
          <w:rFonts w:ascii="Segoe UI" w:hAnsi="Segoe UI" w:cs="Segoe UI"/>
          <w:sz w:val="21"/>
          <w:szCs w:val="21"/>
        </w:rPr>
        <w:t>s</w:t>
      </w:r>
      <w:r w:rsidRPr="732DCF1E" w:rsidR="3C44246B">
        <w:rPr>
          <w:rFonts w:ascii="Segoe UI" w:hAnsi="Segoe UI" w:cs="Segoe UI"/>
          <w:sz w:val="21"/>
          <w:szCs w:val="21"/>
        </w:rPr>
        <w:t>. Ameren’s failure to prevent or mitigate such risk supports a finding of negligence.</w:t>
      </w:r>
    </w:p>
    <w:p w:rsidR="002C51D6" w:rsidP="002C51D6" w:rsidRDefault="00000000" w14:paraId="1888BDBD" w14:textId="77777777">
      <w:pPr>
        <w:spacing w:line="300" w:lineRule="atLeast"/>
        <w:rPr>
          <w:rFonts w:ascii="Segoe UI" w:hAnsi="Segoe UI" w:cs="Segoe UI"/>
          <w:sz w:val="21"/>
          <w:szCs w:val="21"/>
        </w:rPr>
      </w:pPr>
      <w:r>
        <w:rPr>
          <w:rFonts w:ascii="Segoe UI" w:hAnsi="Segoe UI" w:cs="Segoe UI"/>
          <w:sz w:val="21"/>
          <w:szCs w:val="21"/>
        </w:rPr>
        <w:pict w14:anchorId="785056A9">
          <v:rect id="_x0000_i1035" style="width:0;height:1.5pt" o:hr="t" o:hrstd="t" o:hralign="center" fillcolor="#a0a0a0" stroked="f"/>
        </w:pict>
      </w:r>
    </w:p>
    <w:p w:rsidR="002C51D6" w:rsidP="002C51D6" w:rsidRDefault="002C51D6" w14:paraId="50E3B308" w14:textId="77777777">
      <w:pPr>
        <w:pStyle w:val="Heading3"/>
        <w:spacing w:line="300" w:lineRule="atLeast"/>
        <w:rPr>
          <w:rFonts w:ascii="Segoe UI" w:hAnsi="Segoe UI" w:cs="Segoe UI"/>
          <w:sz w:val="27"/>
          <w:szCs w:val="27"/>
        </w:rPr>
      </w:pPr>
      <w:r>
        <w:rPr>
          <w:rStyle w:val="Strong"/>
          <w:rFonts w:ascii="Segoe UI" w:hAnsi="Segoe UI" w:cs="Segoe UI"/>
          <w:b w:val="0"/>
          <w:bCs w:val="0"/>
        </w:rPr>
        <w:t>E. The Doctrine of Res Ipsa Loquitur Supports an Inference of Negligence</w:t>
      </w:r>
    </w:p>
    <w:p w:rsidR="002C51D6" w:rsidP="002C51D6" w:rsidRDefault="002C51D6" w14:paraId="4A581CA9" w14:textId="77777777">
      <w:pPr>
        <w:pStyle w:val="NormalWeb"/>
        <w:spacing w:line="300" w:lineRule="atLeast"/>
        <w:rPr>
          <w:rFonts w:ascii="Segoe UI" w:hAnsi="Segoe UI" w:cs="Segoe UI"/>
          <w:sz w:val="21"/>
          <w:szCs w:val="21"/>
        </w:rPr>
      </w:pPr>
      <w:r>
        <w:rPr>
          <w:rFonts w:ascii="Segoe UI" w:hAnsi="Segoe UI" w:cs="Segoe UI"/>
          <w:sz w:val="21"/>
          <w:szCs w:val="21"/>
        </w:rPr>
        <w:t xml:space="preserve">The facts of this case independently support application of the doctrine of </w:t>
      </w:r>
      <w:r>
        <w:rPr>
          <w:rStyle w:val="Strong"/>
          <w:rFonts w:ascii="Segoe UI" w:hAnsi="Segoe UI" w:cs="Segoe UI" w:eastAsiaTheme="majorEastAsia"/>
          <w:sz w:val="21"/>
          <w:szCs w:val="21"/>
        </w:rPr>
        <w:t>res ipsa loquitur</w:t>
      </w:r>
      <w:r>
        <w:rPr>
          <w:rFonts w:ascii="Segoe UI" w:hAnsi="Segoe UI" w:cs="Segoe UI"/>
          <w:sz w:val="21"/>
          <w:szCs w:val="21"/>
        </w:rPr>
        <w:t>.</w:t>
      </w:r>
    </w:p>
    <w:p w:rsidR="002C51D6" w:rsidP="002C51D6" w:rsidRDefault="002C51D6" w14:paraId="315068AC" w14:textId="77777777">
      <w:pPr>
        <w:pStyle w:val="NormalWeb"/>
        <w:spacing w:line="300" w:lineRule="atLeast"/>
        <w:rPr>
          <w:rFonts w:ascii="Segoe UI" w:hAnsi="Segoe UI" w:cs="Segoe UI"/>
          <w:sz w:val="21"/>
          <w:szCs w:val="21"/>
        </w:rPr>
      </w:pPr>
      <w:r>
        <w:rPr>
          <w:rFonts w:ascii="Segoe UI" w:hAnsi="Segoe UI" w:cs="Segoe UI"/>
          <w:sz w:val="21"/>
          <w:szCs w:val="21"/>
        </w:rPr>
        <w:t>Under Missouri law, res ipsa loquitur applies where:</w:t>
      </w:r>
    </w:p>
    <w:p w:rsidR="002C51D6" w:rsidP="002C51D6" w:rsidRDefault="002C51D6" w14:paraId="74CC49D3" w14:textId="2670B400">
      <w:pPr>
        <w:numPr>
          <w:ilvl w:val="0"/>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The occurrence is of a kind that ordinarily does not occur in the absence of </w:t>
      </w:r>
      <w:r w:rsidR="009E7CC1">
        <w:rPr>
          <w:rFonts w:ascii="Segoe UI" w:hAnsi="Segoe UI" w:cs="Segoe UI"/>
          <w:sz w:val="21"/>
          <w:szCs w:val="21"/>
        </w:rPr>
        <w:t>negligence;</w:t>
      </w:r>
    </w:p>
    <w:p w:rsidR="002C51D6" w:rsidP="002C51D6" w:rsidRDefault="002C51D6" w14:paraId="5C391E75" w14:textId="77777777">
      <w:pPr>
        <w:numPr>
          <w:ilvl w:val="0"/>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instrumentality causing injury was under the defendant’s control; and</w:t>
      </w:r>
    </w:p>
    <w:p w:rsidR="002C51D6" w:rsidP="002C51D6" w:rsidRDefault="002C51D6" w14:paraId="1652639F" w14:textId="77777777">
      <w:pPr>
        <w:numPr>
          <w:ilvl w:val="0"/>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defendant has superior knowledge of the cause.</w:t>
      </w:r>
    </w:p>
    <w:p w:rsidR="002C51D6" w:rsidP="002C51D6" w:rsidRDefault="002C51D6" w14:paraId="71C47A90" w14:textId="77777777">
      <w:pPr>
        <w:pStyle w:val="NormalWeb"/>
        <w:spacing w:line="300" w:lineRule="atLeast"/>
        <w:rPr>
          <w:rFonts w:ascii="Segoe UI" w:hAnsi="Segoe UI" w:cs="Segoe UI"/>
          <w:sz w:val="21"/>
          <w:szCs w:val="21"/>
        </w:rPr>
      </w:pPr>
      <w:r>
        <w:rPr>
          <w:rFonts w:ascii="Segoe UI" w:hAnsi="Segoe UI" w:cs="Segoe UI"/>
          <w:sz w:val="21"/>
          <w:szCs w:val="21"/>
        </w:rPr>
        <w:t xml:space="preserve">Missouri courts recognize the applicability of this doctrine in cases involving utility infrastructure. See </w:t>
      </w:r>
      <w:r>
        <w:rPr>
          <w:rStyle w:val="Emphasis"/>
          <w:rFonts w:ascii="Segoe UI" w:hAnsi="Segoe UI" w:cs="Segoe UI" w:eastAsiaTheme="majorEastAsia"/>
          <w:b/>
          <w:bCs/>
          <w:sz w:val="21"/>
          <w:szCs w:val="21"/>
        </w:rPr>
        <w:t>Goddard</w:t>
      </w:r>
      <w:r>
        <w:rPr>
          <w:rFonts w:ascii="Segoe UI" w:hAnsi="Segoe UI" w:cs="Segoe UI"/>
          <w:sz w:val="21"/>
          <w:szCs w:val="21"/>
        </w:rPr>
        <w:t xml:space="preserve">, 379 S.W.2d 565. </w:t>
      </w:r>
      <w:hyperlink w:history="1" r:id="rId14">
        <w:r>
          <w:rPr>
            <w:rStyle w:val="Hyperlink"/>
            <w:rFonts w:ascii="Segoe UI" w:hAnsi="Segoe UI" w:cs="Segoe UI" w:eastAsiaTheme="majorEastAsia"/>
            <w:sz w:val="21"/>
            <w:szCs w:val="21"/>
          </w:rPr>
          <w:t>[case-law.vlex.com]</w:t>
        </w:r>
      </w:hyperlink>
    </w:p>
    <w:p w:rsidR="002C51D6" w:rsidP="002C51D6" w:rsidRDefault="002C51D6" w14:paraId="199EE22C" w14:textId="77777777">
      <w:pPr>
        <w:pStyle w:val="NormalWeb"/>
        <w:spacing w:line="300" w:lineRule="atLeast"/>
        <w:rPr>
          <w:rFonts w:ascii="Segoe UI" w:hAnsi="Segoe UI" w:cs="Segoe UI"/>
          <w:sz w:val="21"/>
          <w:szCs w:val="21"/>
        </w:rPr>
      </w:pPr>
      <w:r>
        <w:rPr>
          <w:rFonts w:ascii="Segoe UI" w:hAnsi="Segoe UI" w:cs="Segoe UI"/>
          <w:sz w:val="21"/>
          <w:szCs w:val="21"/>
        </w:rPr>
        <w:t>All elements are satisfied here:</w:t>
      </w:r>
    </w:p>
    <w:p w:rsidR="002C51D6" w:rsidP="002C51D6" w:rsidRDefault="002C51D6" w14:paraId="7F576F32" w14:textId="77777777">
      <w:pPr>
        <w:numPr>
          <w:ilvl w:val="0"/>
          <w:numId w:val="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First</w:t>
      </w:r>
      <w:r>
        <w:rPr>
          <w:rFonts w:ascii="Segoe UI" w:hAnsi="Segoe UI" w:cs="Segoe UI"/>
          <w:sz w:val="21"/>
          <w:szCs w:val="21"/>
        </w:rPr>
        <w:t>, a residential electrical service line does not fail in a manner causing severe voltage imbalance and widespread appliance destruction absent negligence;</w:t>
      </w:r>
    </w:p>
    <w:p w:rsidR="002C51D6" w:rsidP="002C51D6" w:rsidRDefault="002C51D6" w14:paraId="5851E0BA" w14:textId="77777777">
      <w:pPr>
        <w:numPr>
          <w:ilvl w:val="0"/>
          <w:numId w:val="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Second</w:t>
      </w:r>
      <w:r>
        <w:rPr>
          <w:rFonts w:ascii="Segoe UI" w:hAnsi="Segoe UI" w:cs="Segoe UI"/>
          <w:sz w:val="21"/>
          <w:szCs w:val="21"/>
        </w:rPr>
        <w:t>, the service line and neutral conductor were under Ameren’s exclusive control;</w:t>
      </w:r>
    </w:p>
    <w:p w:rsidR="002C51D6" w:rsidP="002C51D6" w:rsidRDefault="002C51D6" w14:paraId="58271A4F" w14:textId="77777777">
      <w:pPr>
        <w:numPr>
          <w:ilvl w:val="0"/>
          <w:numId w:val="5"/>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Third</w:t>
      </w:r>
      <w:r>
        <w:rPr>
          <w:rFonts w:ascii="Segoe UI" w:hAnsi="Segoe UI" w:cs="Segoe UI"/>
          <w:sz w:val="21"/>
          <w:szCs w:val="21"/>
        </w:rPr>
        <w:t>, Ameren possesses superior knowledge regarding system design, maintenance, and failure modes.</w:t>
      </w:r>
    </w:p>
    <w:p w:rsidR="002C51D6" w:rsidP="002C51D6" w:rsidRDefault="002C51D6" w14:paraId="6F292143" w14:textId="77777777">
      <w:pPr>
        <w:pStyle w:val="NormalWeb"/>
        <w:spacing w:line="300" w:lineRule="atLeast"/>
        <w:rPr>
          <w:rFonts w:ascii="Segoe UI" w:hAnsi="Segoe UI" w:cs="Segoe UI"/>
          <w:sz w:val="21"/>
          <w:szCs w:val="21"/>
        </w:rPr>
      </w:pPr>
      <w:r>
        <w:rPr>
          <w:rFonts w:ascii="Segoe UI" w:hAnsi="Segoe UI" w:cs="Segoe UI"/>
          <w:sz w:val="21"/>
          <w:szCs w:val="21"/>
        </w:rPr>
        <w:t>Where these elements are present, Missouri law permits an inference of negligence even without direct proof of a specific act.</w:t>
      </w:r>
    </w:p>
    <w:p w:rsidR="002C51D6" w:rsidP="002C51D6" w:rsidRDefault="002C51D6" w14:paraId="17EDFC02" w14:textId="5B846FDF">
      <w:pPr>
        <w:pStyle w:val="NormalWeb"/>
        <w:spacing w:line="300" w:lineRule="atLeast"/>
        <w:rPr>
          <w:rFonts w:ascii="Segoe UI" w:hAnsi="Segoe UI" w:cs="Segoe UI"/>
          <w:sz w:val="21"/>
          <w:szCs w:val="21"/>
        </w:rPr>
      </w:pPr>
      <w:r>
        <w:rPr>
          <w:rFonts w:ascii="Segoe UI" w:hAnsi="Segoe UI" w:cs="Segoe UI"/>
          <w:sz w:val="21"/>
          <w:szCs w:val="21"/>
        </w:rPr>
        <w:t xml:space="preserve">Ameren’s alternative explanation of rodent activity is unsupported by evidence and therefore insufficient to rebut this inference. Accordingly, res ipsa loquitur provides an independent and sufficient basis for </w:t>
      </w:r>
      <w:r w:rsidR="006C5743">
        <w:rPr>
          <w:rFonts w:ascii="Segoe UI" w:hAnsi="Segoe UI" w:cs="Segoe UI"/>
          <w:sz w:val="21"/>
          <w:szCs w:val="21"/>
        </w:rPr>
        <w:t xml:space="preserve">a </w:t>
      </w:r>
      <w:r w:rsidR="0003173C">
        <w:rPr>
          <w:rFonts w:ascii="Segoe UI" w:hAnsi="Segoe UI" w:cs="Segoe UI"/>
          <w:sz w:val="21"/>
          <w:szCs w:val="21"/>
        </w:rPr>
        <w:t>finding</w:t>
      </w:r>
      <w:r>
        <w:rPr>
          <w:rFonts w:ascii="Segoe UI" w:hAnsi="Segoe UI" w:cs="Segoe UI"/>
          <w:sz w:val="21"/>
          <w:szCs w:val="21"/>
        </w:rPr>
        <w:t xml:space="preserve"> </w:t>
      </w:r>
      <w:r w:rsidR="006C5743">
        <w:rPr>
          <w:rFonts w:ascii="Segoe UI" w:hAnsi="Segoe UI" w:cs="Segoe UI"/>
          <w:sz w:val="21"/>
          <w:szCs w:val="21"/>
        </w:rPr>
        <w:t xml:space="preserve">of </w:t>
      </w:r>
      <w:r>
        <w:rPr>
          <w:rFonts w:ascii="Segoe UI" w:hAnsi="Segoe UI" w:cs="Segoe UI"/>
          <w:sz w:val="21"/>
          <w:szCs w:val="21"/>
        </w:rPr>
        <w:t>negligence.</w:t>
      </w:r>
    </w:p>
    <w:p w:rsidR="002C51D6" w:rsidP="002C51D6" w:rsidRDefault="00000000" w14:paraId="1FE98529" w14:textId="77777777">
      <w:pPr>
        <w:spacing w:line="300" w:lineRule="atLeast"/>
        <w:rPr>
          <w:rFonts w:ascii="Segoe UI" w:hAnsi="Segoe UI" w:cs="Segoe UI"/>
          <w:sz w:val="21"/>
          <w:szCs w:val="21"/>
        </w:rPr>
      </w:pPr>
      <w:r>
        <w:rPr>
          <w:rFonts w:ascii="Segoe UI" w:hAnsi="Segoe UI" w:cs="Segoe UI"/>
          <w:sz w:val="21"/>
          <w:szCs w:val="21"/>
        </w:rPr>
        <w:pict w14:anchorId="3D198981">
          <v:rect id="_x0000_i1036" style="width:0;height:1.5pt" o:hr="t" o:hrstd="t" o:hralign="center" fillcolor="#a0a0a0" stroked="f"/>
        </w:pict>
      </w:r>
    </w:p>
    <w:p w:rsidR="002C51D6" w:rsidP="002C51D6" w:rsidRDefault="002C51D6" w14:paraId="5CA644B8" w14:textId="77777777">
      <w:pPr>
        <w:pStyle w:val="Heading2"/>
        <w:spacing w:line="300" w:lineRule="atLeast"/>
        <w:rPr>
          <w:rFonts w:ascii="Segoe UI" w:hAnsi="Segoe UI" w:cs="Segoe UI"/>
          <w:sz w:val="36"/>
          <w:szCs w:val="36"/>
        </w:rPr>
      </w:pPr>
      <w:r>
        <w:rPr>
          <w:rStyle w:val="Strong"/>
          <w:rFonts w:ascii="Segoe UI" w:hAnsi="Segoe UI" w:cs="Segoe UI"/>
          <w:b w:val="0"/>
          <w:bCs w:val="0"/>
        </w:rPr>
        <w:t>V. Conclusion</w:t>
      </w:r>
    </w:p>
    <w:p w:rsidR="002C51D6" w:rsidP="002C51D6" w:rsidRDefault="002C51D6" w14:paraId="71A723FA" w14:textId="77777777">
      <w:pPr>
        <w:pStyle w:val="NormalWeb"/>
        <w:spacing w:line="300" w:lineRule="atLeast"/>
        <w:rPr>
          <w:rFonts w:ascii="Segoe UI" w:hAnsi="Segoe UI" w:cs="Segoe UI"/>
          <w:sz w:val="21"/>
          <w:szCs w:val="21"/>
        </w:rPr>
      </w:pPr>
      <w:r>
        <w:rPr>
          <w:rFonts w:ascii="Segoe UI" w:hAnsi="Segoe UI" w:cs="Segoe UI"/>
          <w:sz w:val="21"/>
          <w:szCs w:val="21"/>
        </w:rPr>
        <w:t>The record demonstrates that Ameren Missouri has not established that the September 13, 2024 incident resulted from conditions beyond its control. Rather, the evidence supports findings that:</w:t>
      </w:r>
    </w:p>
    <w:p w:rsidR="002C51D6" w:rsidP="002C51D6" w:rsidRDefault="002C51D6" w14:paraId="341C258F" w14:textId="77777777">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Ameren failed to conduct adequate inspections consistent with regulatory requirements;</w:t>
      </w:r>
    </w:p>
    <w:p w:rsidR="002C51D6" w:rsidP="002C51D6" w:rsidRDefault="002C51D6" w14:paraId="36D99C9E" w14:textId="77777777">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Ameren has not substantiated its asserted external cause of the failure;</w:t>
      </w:r>
    </w:p>
    <w:p w:rsidR="002C51D6" w:rsidP="002C51D6" w:rsidRDefault="002C51D6" w14:paraId="555A1FAE" w14:textId="77777777">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Ameren failed to respond to a hazardous condition within a reasonable time;</w:t>
      </w:r>
    </w:p>
    <w:p w:rsidR="002C51D6" w:rsidP="002C51D6" w:rsidRDefault="002C51D6" w14:paraId="7D7E3E95" w14:textId="77777777">
      <w:pPr>
        <w:numPr>
          <w:ilvl w:val="0"/>
          <w:numId w:val="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The circumstances warrant an inference of negligence under Missouri law.</w:t>
      </w:r>
    </w:p>
    <w:p w:rsidR="002C51D6" w:rsidP="002C51D6" w:rsidRDefault="002C51D6" w14:paraId="6F33DB4D" w14:textId="68912697">
      <w:pPr>
        <w:pStyle w:val="NormalWeb"/>
        <w:spacing w:line="300" w:lineRule="atLeast"/>
        <w:rPr>
          <w:rFonts w:ascii="Segoe UI" w:hAnsi="Segoe UI" w:cs="Segoe UI"/>
          <w:sz w:val="21"/>
          <w:szCs w:val="21"/>
        </w:rPr>
      </w:pPr>
      <w:r w:rsidRPr="732DCF1E" w:rsidR="3C44246B">
        <w:rPr>
          <w:rStyle w:val="Strong"/>
          <w:rFonts w:ascii="Segoe UI" w:hAnsi="Segoe UI" w:eastAsia="游ゴシック Light" w:cs="Segoe UI" w:eastAsiaTheme="majorEastAsia"/>
          <w:sz w:val="21"/>
          <w:szCs w:val="21"/>
        </w:rPr>
        <w:t>Importantly, under the doctrine of res ipsa loquitur, once Complainant establishes that the failure occurred under Ameren’s control and is of a type that ordinarily does not occur absent negligence, the burden effectively shifts to Ameren to provide a credible, evidence-supported explanation of the cause.</w:t>
      </w:r>
      <w:r w:rsidRPr="732DCF1E" w:rsidR="3C44246B">
        <w:rPr>
          <w:rFonts w:ascii="Segoe UI" w:hAnsi="Segoe UI" w:cs="Segoe UI"/>
          <w:sz w:val="21"/>
          <w:szCs w:val="21"/>
        </w:rPr>
        <w:t xml:space="preserve"> Ameren has not met this burden. </w:t>
      </w:r>
      <w:r w:rsidRPr="732DCF1E" w:rsidR="081C96F2">
        <w:rPr>
          <w:rFonts w:ascii="Segoe UI" w:hAnsi="Segoe UI" w:cs="Segoe UI"/>
          <w:sz w:val="21"/>
          <w:szCs w:val="21"/>
        </w:rPr>
        <w:t>Its</w:t>
      </w:r>
      <w:r w:rsidRPr="732DCF1E" w:rsidR="081C96F2">
        <w:rPr>
          <w:rFonts w:ascii="Segoe UI" w:hAnsi="Segoe UI" w:cs="Segoe UI"/>
          <w:sz w:val="21"/>
          <w:szCs w:val="21"/>
        </w:rPr>
        <w:t xml:space="preserve"> usual formula of</w:t>
      </w:r>
      <w:r w:rsidRPr="732DCF1E" w:rsidR="3C44246B">
        <w:rPr>
          <w:rFonts w:ascii="Segoe UI" w:hAnsi="Segoe UI" w:cs="Segoe UI"/>
          <w:sz w:val="21"/>
          <w:szCs w:val="21"/>
        </w:rPr>
        <w:t xml:space="preserve"> reliance on speculative rodent activity is insufficient to rebut the inference of negligence arising from the undisputed failure of its equipment.</w:t>
      </w:r>
    </w:p>
    <w:p w:rsidR="002C51D6" w:rsidP="002C51D6" w:rsidRDefault="002C51D6" w14:paraId="33711EDF" w14:textId="77777777">
      <w:pPr>
        <w:pStyle w:val="NormalWeb"/>
        <w:spacing w:line="300" w:lineRule="atLeast"/>
        <w:rPr>
          <w:rFonts w:ascii="Segoe UI" w:hAnsi="Segoe UI" w:cs="Segoe UI"/>
          <w:sz w:val="21"/>
          <w:szCs w:val="21"/>
        </w:rPr>
      </w:pPr>
      <w:r>
        <w:rPr>
          <w:rFonts w:ascii="Segoe UI" w:hAnsi="Segoe UI" w:cs="Segoe UI"/>
          <w:sz w:val="21"/>
          <w:szCs w:val="21"/>
        </w:rPr>
        <w:t>Accordingly, Complainant respectfully requests that the Commission:</w:t>
      </w:r>
    </w:p>
    <w:p w:rsidR="002C51D6" w:rsidP="002C51D6" w:rsidRDefault="002C51D6" w14:paraId="15BA1B45" w14:textId="77777777">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Find that Ameren Missouri violated applicable statutes, regulations, tariffs, or orders;</w:t>
      </w:r>
    </w:p>
    <w:p w:rsidR="002C51D6" w:rsidP="002C51D6" w:rsidRDefault="002C51D6" w14:paraId="1FB4D9C5" w14:textId="77777777">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Determine that Ameren failed to exercise the required degree of care; and</w:t>
      </w:r>
    </w:p>
    <w:p w:rsidR="002C51D6" w:rsidP="002C51D6" w:rsidRDefault="002C51D6" w14:paraId="78131AC7" w14:textId="77777777">
      <w:pPr>
        <w:numPr>
          <w:ilvl w:val="0"/>
          <w:numId w:val="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Grant such relief as is within the Commission’s authority.</w:t>
      </w:r>
    </w:p>
    <w:p w:rsidR="002C51D6" w:rsidP="002C51D6" w:rsidRDefault="002C51D6" w14:paraId="0FF737B0" w14:textId="77777777">
      <w:pPr>
        <w:pStyle w:val="NormalWeb"/>
        <w:spacing w:line="300" w:lineRule="atLeast"/>
        <w:rPr>
          <w:rFonts w:ascii="Segoe UI" w:hAnsi="Segoe UI" w:cs="Segoe UI"/>
          <w:sz w:val="21"/>
          <w:szCs w:val="21"/>
        </w:rPr>
      </w:pPr>
      <w:r>
        <w:rPr>
          <w:rFonts w:ascii="Segoe UI" w:hAnsi="Segoe UI" w:cs="Segoe UI"/>
          <w:sz w:val="21"/>
          <w:szCs w:val="21"/>
        </w:rPr>
        <w:t>Complainant further reserves all rights to pursue damages in a court of competent jurisdiction.</w:t>
      </w:r>
    </w:p>
    <w:p w:rsidRPr="002C51D6" w:rsidR="002C51D6" w:rsidP="002C51D6" w:rsidRDefault="00000000" w14:paraId="59435C49" w14:textId="4EA7D9AC">
      <w:pPr>
        <w:spacing w:line="300" w:lineRule="atLeast"/>
        <w:rPr>
          <w:rFonts w:ascii="Segoe UI" w:hAnsi="Segoe UI" w:cs="Segoe UI"/>
          <w:sz w:val="21"/>
          <w:szCs w:val="21"/>
        </w:rPr>
      </w:pPr>
      <w:r>
        <w:rPr>
          <w:rFonts w:ascii="Segoe UI" w:hAnsi="Segoe UI" w:cs="Segoe UI"/>
          <w:sz w:val="21"/>
          <w:szCs w:val="21"/>
        </w:rPr>
        <w:pict w14:anchorId="17BCFA4C">
          <v:rect id="_x0000_i1037" style="width:0;height:1.5pt" o:hr="t" o:hrstd="t" o:hralign="center" fillcolor="#a0a0a0" stroked="f"/>
        </w:pict>
      </w:r>
    </w:p>
    <w:p w:rsidR="002C51D6" w:rsidP="002C51D6" w:rsidRDefault="002C51D6" w14:paraId="08383769" w14:textId="77777777">
      <w:pPr>
        <w:pStyle w:val="NormalWeb"/>
        <w:spacing w:line="300" w:lineRule="atLeast"/>
        <w:rPr>
          <w:rFonts w:ascii="Segoe UI" w:hAnsi="Segoe UI" w:cs="Segoe UI"/>
          <w:sz w:val="21"/>
          <w:szCs w:val="21"/>
        </w:rPr>
      </w:pPr>
      <w:r>
        <w:rPr>
          <w:rStyle w:val="Strong"/>
          <w:rFonts w:ascii="Segoe UI" w:hAnsi="Segoe UI" w:cs="Segoe UI" w:eastAsiaTheme="majorEastAsia"/>
          <w:sz w:val="21"/>
          <w:szCs w:val="21"/>
        </w:rPr>
        <w:t>Respectfully submitted,</w:t>
      </w:r>
      <w:r>
        <w:rPr>
          <w:rFonts w:ascii="Segoe UI" w:hAnsi="Segoe UI" w:cs="Segoe UI"/>
          <w:sz w:val="21"/>
          <w:szCs w:val="21"/>
        </w:rPr>
        <w:br/>
      </w:r>
      <w:r>
        <w:rPr>
          <w:rFonts w:ascii="Segoe UI" w:hAnsi="Segoe UI" w:cs="Segoe UI"/>
          <w:sz w:val="21"/>
          <w:szCs w:val="21"/>
        </w:rPr>
        <w:t>Timothy Boyle</w:t>
      </w:r>
      <w:r>
        <w:rPr>
          <w:rFonts w:ascii="Segoe UI" w:hAnsi="Segoe UI" w:cs="Segoe UI"/>
          <w:sz w:val="21"/>
          <w:szCs w:val="21"/>
        </w:rPr>
        <w:br/>
      </w:r>
      <w:r>
        <w:rPr>
          <w:rFonts w:ascii="Segoe UI" w:hAnsi="Segoe UI" w:cs="Segoe UI"/>
          <w:sz w:val="21"/>
          <w:szCs w:val="21"/>
        </w:rPr>
        <w:t>Complainant</w:t>
      </w:r>
    </w:p>
    <w:p w:rsidR="002C51D6" w:rsidP="002C51D6" w:rsidRDefault="002C51D6" w14:paraId="71B5E998" w14:textId="3463B40B">
      <w:pPr>
        <w:spacing w:line="300" w:lineRule="atLeast"/>
        <w:rPr>
          <w:rFonts w:ascii="Segoe UI" w:hAnsi="Segoe UI" w:cs="Segoe UI"/>
          <w:sz w:val="21"/>
          <w:szCs w:val="21"/>
        </w:rPr>
      </w:pPr>
    </w:p>
    <w:p w:rsidR="002C51D6" w:rsidP="002C51D6" w:rsidRDefault="00000000" w14:paraId="4A1352CF" w14:textId="77777777">
      <w:pPr>
        <w:spacing w:line="300" w:lineRule="atLeast"/>
        <w:rPr>
          <w:rFonts w:ascii="Segoe UI" w:hAnsi="Segoe UI" w:cs="Segoe UI"/>
          <w:sz w:val="21"/>
          <w:szCs w:val="21"/>
        </w:rPr>
      </w:pPr>
      <w:r>
        <w:rPr>
          <w:rFonts w:ascii="Segoe UI" w:hAnsi="Segoe UI" w:cs="Segoe UI"/>
          <w:sz w:val="21"/>
          <w:szCs w:val="21"/>
        </w:rPr>
        <w:pict w14:anchorId="55C0C269">
          <v:rect id="_x0000_i1038" style="width:0;height:1.5pt" o:hr="t" o:hrstd="t" o:hralign="center" fillcolor="#a0a0a0" stroked="f"/>
        </w:pict>
      </w:r>
    </w:p>
    <w:p w:rsidR="002C51D6" w:rsidRDefault="002C51D6" w14:paraId="54A3F3DC" w14:textId="77777777"/>
    <w:sectPr w:rsidR="002C51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674"/>
    <w:multiLevelType w:val="multilevel"/>
    <w:tmpl w:val="491AF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55029D"/>
    <w:multiLevelType w:val="multilevel"/>
    <w:tmpl w:val="CAE0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F0692"/>
    <w:multiLevelType w:val="multilevel"/>
    <w:tmpl w:val="82EC0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9431CA0"/>
    <w:multiLevelType w:val="multilevel"/>
    <w:tmpl w:val="D4CEA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E25DBC"/>
    <w:multiLevelType w:val="multilevel"/>
    <w:tmpl w:val="742E7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F6DEB"/>
    <w:multiLevelType w:val="multilevel"/>
    <w:tmpl w:val="2D4C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0B4C94"/>
    <w:multiLevelType w:val="multilevel"/>
    <w:tmpl w:val="15B4D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24C2AFE"/>
    <w:multiLevelType w:val="multilevel"/>
    <w:tmpl w:val="34AE4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55626279">
    <w:abstractNumId w:val="1"/>
  </w:num>
  <w:num w:numId="2" w16cid:durableId="342900534">
    <w:abstractNumId w:val="6"/>
  </w:num>
  <w:num w:numId="3" w16cid:durableId="813252944">
    <w:abstractNumId w:val="3"/>
  </w:num>
  <w:num w:numId="4" w16cid:durableId="467822912">
    <w:abstractNumId w:val="5"/>
  </w:num>
  <w:num w:numId="5" w16cid:durableId="762918095">
    <w:abstractNumId w:val="0"/>
  </w:num>
  <w:num w:numId="6" w16cid:durableId="558633998">
    <w:abstractNumId w:val="4"/>
  </w:num>
  <w:num w:numId="7" w16cid:durableId="2021084237">
    <w:abstractNumId w:val="2"/>
  </w:num>
  <w:num w:numId="8" w16cid:durableId="171685277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D6"/>
    <w:rsid w:val="00000000"/>
    <w:rsid w:val="0003173C"/>
    <w:rsid w:val="00157ADB"/>
    <w:rsid w:val="002C51D6"/>
    <w:rsid w:val="006C5743"/>
    <w:rsid w:val="00801644"/>
    <w:rsid w:val="009E7CC1"/>
    <w:rsid w:val="00AB0F43"/>
    <w:rsid w:val="00B70EA3"/>
    <w:rsid w:val="00E53AB7"/>
    <w:rsid w:val="0287B7B8"/>
    <w:rsid w:val="02D48FA8"/>
    <w:rsid w:val="0437BBD4"/>
    <w:rsid w:val="046EA129"/>
    <w:rsid w:val="04D77AD4"/>
    <w:rsid w:val="071CF36C"/>
    <w:rsid w:val="081C96F2"/>
    <w:rsid w:val="09AD2B7D"/>
    <w:rsid w:val="0B682C9B"/>
    <w:rsid w:val="0CBE569B"/>
    <w:rsid w:val="0CD027E0"/>
    <w:rsid w:val="0E237947"/>
    <w:rsid w:val="0E4045C7"/>
    <w:rsid w:val="0E954FAB"/>
    <w:rsid w:val="0EB3C7BB"/>
    <w:rsid w:val="0F5E344F"/>
    <w:rsid w:val="108C2CDB"/>
    <w:rsid w:val="14F693F8"/>
    <w:rsid w:val="17A4F9B6"/>
    <w:rsid w:val="1A8EA563"/>
    <w:rsid w:val="1C51A8A2"/>
    <w:rsid w:val="1F92B3B0"/>
    <w:rsid w:val="200CBA77"/>
    <w:rsid w:val="225E6F85"/>
    <w:rsid w:val="227D45DA"/>
    <w:rsid w:val="280FC307"/>
    <w:rsid w:val="2870DEC5"/>
    <w:rsid w:val="2882504B"/>
    <w:rsid w:val="2C205CB5"/>
    <w:rsid w:val="2CF713F5"/>
    <w:rsid w:val="2D1DBBC3"/>
    <w:rsid w:val="2E2E80C7"/>
    <w:rsid w:val="30115C9E"/>
    <w:rsid w:val="369732D3"/>
    <w:rsid w:val="36B24F09"/>
    <w:rsid w:val="3B49A10C"/>
    <w:rsid w:val="3B5AFB43"/>
    <w:rsid w:val="3C44246B"/>
    <w:rsid w:val="3C928D20"/>
    <w:rsid w:val="3D9FA6E7"/>
    <w:rsid w:val="444F9315"/>
    <w:rsid w:val="446DE153"/>
    <w:rsid w:val="45A614BD"/>
    <w:rsid w:val="46863FB7"/>
    <w:rsid w:val="47F67B57"/>
    <w:rsid w:val="48215C8D"/>
    <w:rsid w:val="4A70FD61"/>
    <w:rsid w:val="4B30595D"/>
    <w:rsid w:val="4CBC47D4"/>
    <w:rsid w:val="4DF1726E"/>
    <w:rsid w:val="4E6F90FE"/>
    <w:rsid w:val="4F229C96"/>
    <w:rsid w:val="52018868"/>
    <w:rsid w:val="55F61451"/>
    <w:rsid w:val="56CEA130"/>
    <w:rsid w:val="5A052648"/>
    <w:rsid w:val="5D87FE69"/>
    <w:rsid w:val="6082530C"/>
    <w:rsid w:val="6134843C"/>
    <w:rsid w:val="61CC36E6"/>
    <w:rsid w:val="65538C6B"/>
    <w:rsid w:val="66BF94F6"/>
    <w:rsid w:val="6715F103"/>
    <w:rsid w:val="67BBAD7D"/>
    <w:rsid w:val="6D4BEEBF"/>
    <w:rsid w:val="6D920FBD"/>
    <w:rsid w:val="72F3E1ED"/>
    <w:rsid w:val="732DCF1E"/>
    <w:rsid w:val="73A9A6AF"/>
    <w:rsid w:val="77031F68"/>
    <w:rsid w:val="788827B5"/>
    <w:rsid w:val="794680B5"/>
    <w:rsid w:val="7C3EC3CB"/>
    <w:rsid w:val="7D2707CE"/>
    <w:rsid w:val="7F299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AAFC"/>
  <w15:chartTrackingRefBased/>
  <w15:docId w15:val="{1F2B7940-EE09-4052-8057-7EBCB523E1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51D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51D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5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C5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C5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1D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51D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C51D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C51D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51D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2C51D6"/>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2C51D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51D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51D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51D6"/>
    <w:rPr>
      <w:rFonts w:eastAsiaTheme="majorEastAsia" w:cstheme="majorBidi"/>
      <w:color w:val="272727" w:themeColor="text1" w:themeTint="D8"/>
    </w:rPr>
  </w:style>
  <w:style w:type="paragraph" w:styleId="Title">
    <w:name w:val="Title"/>
    <w:basedOn w:val="Normal"/>
    <w:next w:val="Normal"/>
    <w:link w:val="TitleChar"/>
    <w:uiPriority w:val="10"/>
    <w:qFormat/>
    <w:rsid w:val="002C51D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51D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51D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5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1D6"/>
    <w:pPr>
      <w:spacing w:before="160"/>
      <w:jc w:val="center"/>
    </w:pPr>
    <w:rPr>
      <w:i/>
      <w:iCs/>
      <w:color w:val="404040" w:themeColor="text1" w:themeTint="BF"/>
    </w:rPr>
  </w:style>
  <w:style w:type="character" w:styleId="QuoteChar" w:customStyle="1">
    <w:name w:val="Quote Char"/>
    <w:basedOn w:val="DefaultParagraphFont"/>
    <w:link w:val="Quote"/>
    <w:uiPriority w:val="29"/>
    <w:rsid w:val="002C51D6"/>
    <w:rPr>
      <w:i/>
      <w:iCs/>
      <w:color w:val="404040" w:themeColor="text1" w:themeTint="BF"/>
    </w:rPr>
  </w:style>
  <w:style w:type="paragraph" w:styleId="ListParagraph">
    <w:name w:val="List Paragraph"/>
    <w:basedOn w:val="Normal"/>
    <w:uiPriority w:val="34"/>
    <w:qFormat/>
    <w:rsid w:val="002C51D6"/>
    <w:pPr>
      <w:ind w:left="720"/>
      <w:contextualSpacing/>
    </w:pPr>
  </w:style>
  <w:style w:type="character" w:styleId="IntenseEmphasis">
    <w:name w:val="Intense Emphasis"/>
    <w:basedOn w:val="DefaultParagraphFont"/>
    <w:uiPriority w:val="21"/>
    <w:qFormat/>
    <w:rsid w:val="002C51D6"/>
    <w:rPr>
      <w:i/>
      <w:iCs/>
      <w:color w:val="0F4761" w:themeColor="accent1" w:themeShade="BF"/>
    </w:rPr>
  </w:style>
  <w:style w:type="paragraph" w:styleId="IntenseQuote">
    <w:name w:val="Intense Quote"/>
    <w:basedOn w:val="Normal"/>
    <w:next w:val="Normal"/>
    <w:link w:val="IntenseQuoteChar"/>
    <w:uiPriority w:val="30"/>
    <w:qFormat/>
    <w:rsid w:val="002C51D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51D6"/>
    <w:rPr>
      <w:i/>
      <w:iCs/>
      <w:color w:val="0F4761" w:themeColor="accent1" w:themeShade="BF"/>
    </w:rPr>
  </w:style>
  <w:style w:type="character" w:styleId="IntenseReference">
    <w:name w:val="Intense Reference"/>
    <w:basedOn w:val="DefaultParagraphFont"/>
    <w:uiPriority w:val="32"/>
    <w:qFormat/>
    <w:rsid w:val="002C51D6"/>
    <w:rPr>
      <w:b/>
      <w:bCs/>
      <w:smallCaps/>
      <w:color w:val="0F4761" w:themeColor="accent1" w:themeShade="BF"/>
      <w:spacing w:val="5"/>
    </w:rPr>
  </w:style>
  <w:style w:type="character" w:styleId="Hyperlink">
    <w:name w:val="Hyperlink"/>
    <w:basedOn w:val="DefaultParagraphFont"/>
    <w:uiPriority w:val="99"/>
    <w:semiHidden/>
    <w:unhideWhenUsed/>
    <w:rsid w:val="002C51D6"/>
    <w:rPr>
      <w:strike w:val="0"/>
      <w:dstrike w:val="0"/>
      <w:color w:val="464FEB"/>
      <w:u w:val="none"/>
      <w:effect w:val="none"/>
    </w:rPr>
  </w:style>
  <w:style w:type="character" w:styleId="Strong">
    <w:name w:val="Strong"/>
    <w:basedOn w:val="DefaultParagraphFont"/>
    <w:uiPriority w:val="22"/>
    <w:qFormat/>
    <w:rsid w:val="002C51D6"/>
    <w:rPr>
      <w:b/>
      <w:bCs/>
    </w:rPr>
  </w:style>
  <w:style w:type="paragraph" w:styleId="NormalWeb">
    <w:name w:val="Normal (Web)"/>
    <w:basedOn w:val="Normal"/>
    <w:uiPriority w:val="99"/>
    <w:unhideWhenUsed/>
    <w:rsid w:val="002C51D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2C51D6"/>
    <w:rPr>
      <w:i/>
      <w:iCs/>
    </w:rPr>
  </w:style>
  <w:style w:type="character" w:styleId="11yamx4" w:customStyle="1">
    <w:name w:val="___11yamx4"/>
    <w:basedOn w:val="DefaultParagraphFont"/>
    <w:rsid w:val="002C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law.justia.com/cases/missouri/supreme-court/1989/70947-0.html" TargetMode="External" Id="rId8" /><Relationship Type="http://schemas.openxmlformats.org/officeDocument/2006/relationships/hyperlink" Target="https://www.studicata.com/summaries/court-of-appeals-of-missouri/mobley-v-webster-elec-co-op-1993-nfvsa4/" TargetMode="External" Id="rId13" /><Relationship Type="http://schemas.openxmlformats.org/officeDocument/2006/relationships/settings" Target="settings.xml" Id="rId3" /><Relationship Type="http://schemas.openxmlformats.org/officeDocument/2006/relationships/hyperlink" Target="https://www.studicata.com/summaries/court-of-appeals-of-missouri/mobley-v-webster-elec-co-op-1993-nfvsa4/" TargetMode="External" Id="rId7" /><Relationship Type="http://schemas.openxmlformats.org/officeDocument/2006/relationships/hyperlink" Target="https://law.justia.com/cases/missouri/supreme-court/2004/sc-85851-1.html"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https://law.justia.com/cases/missouri/supreme-court/2004/sc-85851-1.html" TargetMode="External" Id="rId6" /><Relationship Type="http://schemas.openxmlformats.org/officeDocument/2006/relationships/hyperlink" Target="https://law.justia.com/cases/missouri/supreme-court/1989/70947-0.html" TargetMode="External" Id="rId11" /><Relationship Type="http://schemas.openxmlformats.org/officeDocument/2006/relationships/hyperlink" Target="https://case-law.vlex.com/vid/goddard-v-st-joseph-899848808" TargetMode="External" Id="rId5" /><Relationship Type="http://schemas.openxmlformats.org/officeDocument/2006/relationships/fontTable" Target="fontTable.xml" Id="rId15" /><Relationship Type="http://schemas.openxmlformats.org/officeDocument/2006/relationships/hyperlink" Target="https://case-law.vlex.com/vid/goddard-v-st-joseph-899848808" TargetMode="External" Id="rId10" /><Relationship Type="http://schemas.openxmlformats.org/officeDocument/2006/relationships/webSettings" Target="webSettings.xml" Id="rId4" /><Relationship Type="http://schemas.openxmlformats.org/officeDocument/2006/relationships/hyperlink" Target="https://law.justia.com/cases/missouri/supreme-court/1989/70947-0.html" TargetMode="External" Id="rId9" /><Relationship Type="http://schemas.openxmlformats.org/officeDocument/2006/relationships/hyperlink" Target="https://case-law.vlex.com/vid/goddard-v-st-joseph-899848808"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28ff4c-e54d-4ba2-ac28-f2abaa5ff84f}" enabled="1" method="Standard" siteId="{0e8157af-5dd6-4e2d-8d4a-d25d7cee01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Boyle,Tim</dc:creator>
  <keywords/>
  <dc:description/>
  <lastModifiedBy>Boyle,Tim</lastModifiedBy>
  <revision>5</revision>
  <dcterms:created xsi:type="dcterms:W3CDTF">2026-06-10T06:18:00.0000000Z</dcterms:created>
  <dcterms:modified xsi:type="dcterms:W3CDTF">2026-06-12T03:58:49.0997024Z</dcterms:modified>
</coreProperties>
</file>