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4092" w:rsidP="009C4092" w:rsidRDefault="009C4092" w14:paraId="0E33F6EA" w14:textId="77777777">
      <w:pPr>
        <w:pStyle w:val="NormalWeb"/>
        <w:spacing w:line="300" w:lineRule="atLeast"/>
        <w:rPr>
          <w:rFonts w:ascii="Segoe UI" w:hAnsi="Segoe UI" w:cs="Segoe UI"/>
          <w:sz w:val="21"/>
          <w:szCs w:val="21"/>
        </w:rPr>
      </w:pPr>
      <w:r>
        <w:rPr>
          <w:rStyle w:val="Strong"/>
          <w:rFonts w:ascii="Segoe UI" w:hAnsi="Segoe UI" w:cs="Segoe UI"/>
          <w:sz w:val="21"/>
          <w:szCs w:val="21"/>
        </w:rPr>
        <w:t>BEFORE THE PUBLIC SERVICE COMMISSION</w:t>
      </w:r>
      <w:r>
        <w:rPr>
          <w:rFonts w:ascii="Segoe UI" w:hAnsi="Segoe UI" w:cs="Segoe UI"/>
          <w:b/>
          <w:bCs/>
          <w:sz w:val="21"/>
          <w:szCs w:val="21"/>
        </w:rPr>
        <w:br/>
      </w:r>
      <w:r>
        <w:rPr>
          <w:rStyle w:val="Strong"/>
          <w:rFonts w:ascii="Segoe UI" w:hAnsi="Segoe UI" w:cs="Segoe UI"/>
          <w:sz w:val="21"/>
          <w:szCs w:val="21"/>
        </w:rPr>
        <w:t>OF THE STATE OF MISSOURI</w:t>
      </w:r>
    </w:p>
    <w:p w:rsidR="009C4092" w:rsidP="009C4092" w:rsidRDefault="00E22A87" w14:paraId="7A943297" w14:textId="77777777">
      <w:pPr>
        <w:spacing w:line="300" w:lineRule="atLeast"/>
        <w:rPr>
          <w:rFonts w:ascii="Segoe UI" w:hAnsi="Segoe UI" w:cs="Segoe UI"/>
          <w:sz w:val="21"/>
          <w:szCs w:val="21"/>
        </w:rPr>
      </w:pPr>
      <w:r>
        <w:rPr>
          <w:rFonts w:ascii="Segoe UI" w:hAnsi="Segoe UI" w:cs="Segoe UI"/>
          <w:sz w:val="21"/>
          <w:szCs w:val="21"/>
        </w:rPr>
        <w:pict w14:anchorId="2CCCC9F4">
          <v:rect id="_x0000_i1025" style="width:0;height:1.5pt" o:hr="t" o:hrstd="t" o:hralign="center" fillcolor="#a0a0a0" stroked="f"/>
        </w:pict>
      </w:r>
    </w:p>
    <w:p w:rsidR="009C4092" w:rsidP="009C4092" w:rsidRDefault="009C4092" w14:paraId="2265C4EA" w14:textId="77777777">
      <w:pPr>
        <w:pStyle w:val="NormalWeb"/>
        <w:spacing w:line="300" w:lineRule="atLeast"/>
        <w:rPr>
          <w:rFonts w:ascii="Segoe UI" w:hAnsi="Segoe UI" w:cs="Segoe UI"/>
          <w:sz w:val="21"/>
          <w:szCs w:val="21"/>
        </w:rPr>
      </w:pPr>
      <w:r>
        <w:rPr>
          <w:rStyle w:val="Strong"/>
          <w:rFonts w:ascii="Segoe UI" w:hAnsi="Segoe UI" w:cs="Segoe UI"/>
          <w:sz w:val="21"/>
          <w:szCs w:val="21"/>
        </w:rPr>
        <w:t>In the Matter of the Complaint of</w:t>
      </w:r>
      <w:r>
        <w:rPr>
          <w:rFonts w:ascii="Segoe UI" w:hAnsi="Segoe UI" w:cs="Segoe UI"/>
          <w:sz w:val="21"/>
          <w:szCs w:val="21"/>
        </w:rPr>
        <w:br/>
      </w:r>
      <w:r>
        <w:rPr>
          <w:rStyle w:val="Strong"/>
          <w:rFonts w:ascii="Segoe UI" w:hAnsi="Segoe UI" w:cs="Segoe UI"/>
          <w:sz w:val="21"/>
          <w:szCs w:val="21"/>
        </w:rPr>
        <w:t>Timothy Boyle,</w:t>
      </w:r>
      <w:r>
        <w:rPr>
          <w:rFonts w:ascii="Segoe UI" w:hAnsi="Segoe UI" w:cs="Segoe UI"/>
          <w:sz w:val="21"/>
          <w:szCs w:val="21"/>
        </w:rPr>
        <w:br/>
      </w:r>
      <w:r>
        <w:rPr>
          <w:rStyle w:val="Strong"/>
          <w:rFonts w:ascii="Segoe UI" w:hAnsi="Segoe UI" w:cs="Segoe UI"/>
          <w:sz w:val="21"/>
          <w:szCs w:val="21"/>
        </w:rPr>
        <w:t>Complainant,</w:t>
      </w:r>
    </w:p>
    <w:p w:rsidR="009C4092" w:rsidP="009C4092" w:rsidRDefault="009C4092" w14:paraId="35401ACD" w14:textId="77777777">
      <w:pPr>
        <w:pStyle w:val="NormalWeb"/>
        <w:spacing w:line="300" w:lineRule="atLeast"/>
        <w:rPr>
          <w:rFonts w:ascii="Segoe UI" w:hAnsi="Segoe UI" w:cs="Segoe UI"/>
          <w:sz w:val="21"/>
          <w:szCs w:val="21"/>
        </w:rPr>
      </w:pPr>
      <w:r>
        <w:rPr>
          <w:rFonts w:ascii="Segoe UI" w:hAnsi="Segoe UI" w:cs="Segoe UI"/>
          <w:sz w:val="21"/>
          <w:szCs w:val="21"/>
        </w:rPr>
        <w:t>v.</w:t>
      </w:r>
    </w:p>
    <w:p w:rsidR="009C4092" w:rsidP="009C4092" w:rsidRDefault="009C4092" w14:paraId="7751037C" w14:textId="77777777">
      <w:pPr>
        <w:pStyle w:val="NormalWeb"/>
        <w:spacing w:line="300" w:lineRule="atLeast"/>
        <w:rPr>
          <w:rFonts w:ascii="Segoe UI" w:hAnsi="Segoe UI" w:cs="Segoe UI"/>
          <w:sz w:val="21"/>
          <w:szCs w:val="21"/>
        </w:rPr>
      </w:pPr>
      <w:r>
        <w:rPr>
          <w:rStyle w:val="Strong"/>
          <w:rFonts w:ascii="Segoe UI" w:hAnsi="Segoe UI" w:cs="Segoe UI"/>
          <w:sz w:val="21"/>
          <w:szCs w:val="21"/>
        </w:rPr>
        <w:t>Union Electric Company,</w:t>
      </w:r>
      <w:r>
        <w:rPr>
          <w:rFonts w:ascii="Segoe UI" w:hAnsi="Segoe UI" w:cs="Segoe UI"/>
          <w:sz w:val="21"/>
          <w:szCs w:val="21"/>
        </w:rPr>
        <w:br/>
      </w:r>
      <w:r>
        <w:rPr>
          <w:rStyle w:val="Strong"/>
          <w:rFonts w:ascii="Segoe UI" w:hAnsi="Segoe UI" w:cs="Segoe UI"/>
          <w:sz w:val="21"/>
          <w:szCs w:val="21"/>
        </w:rPr>
        <w:t>d/b/a Ameren Missouri,</w:t>
      </w:r>
      <w:r>
        <w:rPr>
          <w:rFonts w:ascii="Segoe UI" w:hAnsi="Segoe UI" w:cs="Segoe UI"/>
          <w:sz w:val="21"/>
          <w:szCs w:val="21"/>
        </w:rPr>
        <w:br/>
      </w:r>
      <w:r>
        <w:rPr>
          <w:rStyle w:val="Strong"/>
          <w:rFonts w:ascii="Segoe UI" w:hAnsi="Segoe UI" w:cs="Segoe UI"/>
          <w:sz w:val="21"/>
          <w:szCs w:val="21"/>
        </w:rPr>
        <w:t>Respondent.</w:t>
      </w:r>
    </w:p>
    <w:p w:rsidR="009C4092" w:rsidP="009C4092" w:rsidRDefault="009C4092" w14:paraId="79FFA427" w14:textId="77777777">
      <w:pPr>
        <w:pStyle w:val="NormalWeb"/>
        <w:spacing w:line="300" w:lineRule="atLeast"/>
        <w:rPr>
          <w:rFonts w:ascii="Segoe UI" w:hAnsi="Segoe UI" w:cs="Segoe UI"/>
          <w:sz w:val="21"/>
          <w:szCs w:val="21"/>
        </w:rPr>
      </w:pPr>
      <w:r>
        <w:rPr>
          <w:rFonts w:ascii="Segoe UI" w:hAnsi="Segoe UI" w:cs="Segoe UI"/>
          <w:sz w:val="21"/>
          <w:szCs w:val="21"/>
        </w:rPr>
        <w:t xml:space="preserve">Case No. </w:t>
      </w:r>
      <w:r>
        <w:rPr>
          <w:rStyle w:val="Strong"/>
          <w:rFonts w:ascii="Segoe UI" w:hAnsi="Segoe UI" w:cs="Segoe UI"/>
          <w:sz w:val="21"/>
          <w:szCs w:val="21"/>
        </w:rPr>
        <w:t>EC</w:t>
      </w:r>
      <w:r>
        <w:rPr>
          <w:rStyle w:val="Strong"/>
          <w:rFonts w:ascii="Segoe UI" w:hAnsi="Segoe UI" w:cs="Segoe UI"/>
          <w:sz w:val="21"/>
          <w:szCs w:val="21"/>
        </w:rPr>
        <w:noBreakHyphen/>
      </w:r>
      <w:r>
        <w:rPr>
          <w:rStyle w:val="Strong"/>
          <w:rFonts w:ascii="Segoe UI" w:hAnsi="Segoe UI" w:cs="Segoe UI"/>
          <w:sz w:val="21"/>
          <w:szCs w:val="21"/>
        </w:rPr>
        <w:t>2026</w:t>
      </w:r>
      <w:r>
        <w:rPr>
          <w:rStyle w:val="Strong"/>
          <w:rFonts w:ascii="Segoe UI" w:hAnsi="Segoe UI" w:cs="Segoe UI"/>
          <w:sz w:val="21"/>
          <w:szCs w:val="21"/>
        </w:rPr>
        <w:noBreakHyphen/>
      </w:r>
      <w:r>
        <w:rPr>
          <w:rStyle w:val="Strong"/>
          <w:rFonts w:ascii="Segoe UI" w:hAnsi="Segoe UI" w:cs="Segoe UI"/>
          <w:sz w:val="21"/>
          <w:szCs w:val="21"/>
        </w:rPr>
        <w:t>0095</w:t>
      </w:r>
    </w:p>
    <w:p w:rsidR="009C4092" w:rsidP="009C4092" w:rsidRDefault="00E22A87" w14:paraId="5F4972F6" w14:textId="77777777">
      <w:pPr>
        <w:spacing w:line="300" w:lineRule="atLeast"/>
        <w:rPr>
          <w:rFonts w:ascii="Segoe UI" w:hAnsi="Segoe UI" w:cs="Segoe UI"/>
          <w:sz w:val="21"/>
          <w:szCs w:val="21"/>
        </w:rPr>
      </w:pPr>
      <w:r>
        <w:rPr>
          <w:rFonts w:ascii="Segoe UI" w:hAnsi="Segoe UI" w:cs="Segoe UI"/>
          <w:sz w:val="21"/>
          <w:szCs w:val="21"/>
        </w:rPr>
        <w:pict w14:anchorId="476C6B95">
          <v:rect id="_x0000_i1026" style="width:0;height:1.5pt" o:hr="t" o:hrstd="t" o:hralign="center" fillcolor="#a0a0a0" stroked="f"/>
        </w:pict>
      </w:r>
    </w:p>
    <w:p w:rsidR="009C4092" w:rsidP="009C4092" w:rsidRDefault="009C4092" w14:paraId="1FCC3EE1" w14:textId="77777777">
      <w:pPr>
        <w:pStyle w:val="Heading2"/>
        <w:spacing w:line="300" w:lineRule="atLeast"/>
        <w:rPr>
          <w:rFonts w:ascii="Segoe UI" w:hAnsi="Segoe UI" w:cs="Segoe UI"/>
          <w:sz w:val="36"/>
          <w:szCs w:val="36"/>
        </w:rPr>
      </w:pPr>
      <w:r>
        <w:rPr>
          <w:rStyle w:val="Strong"/>
          <w:rFonts w:ascii="Segoe UI" w:hAnsi="Segoe UI" w:cs="Segoe UI"/>
          <w:b w:val="0"/>
          <w:bCs w:val="0"/>
        </w:rPr>
        <w:t>COMPLAINANT’S REPLY BRIEF</w:t>
      </w:r>
    </w:p>
    <w:p w:rsidR="009C4092" w:rsidP="009C4092" w:rsidRDefault="009C4092" w14:paraId="79950CB6" w14:textId="77777777">
      <w:pPr>
        <w:pStyle w:val="NormalWeb"/>
        <w:spacing w:line="300" w:lineRule="atLeast"/>
        <w:rPr>
          <w:rFonts w:ascii="Segoe UI" w:hAnsi="Segoe UI" w:cs="Segoe UI"/>
          <w:sz w:val="21"/>
          <w:szCs w:val="21"/>
        </w:rPr>
      </w:pPr>
      <w:r>
        <w:rPr>
          <w:rFonts w:ascii="Segoe UI" w:hAnsi="Segoe UI" w:cs="Segoe UI"/>
          <w:sz w:val="21"/>
          <w:szCs w:val="21"/>
        </w:rPr>
        <w:t>Comes now Complainant Timothy Boyle (“Complainant”), and for his Reply Brief to the Response of Union Electric Company d/b/a Ameren Missouri (“Ameren” or “Respondent”), respectfully states as follows:</w:t>
      </w:r>
    </w:p>
    <w:p w:rsidR="009C4092" w:rsidP="009C4092" w:rsidRDefault="00E22A87" w14:paraId="66158D30" w14:textId="77777777">
      <w:pPr>
        <w:spacing w:line="300" w:lineRule="atLeast"/>
        <w:rPr>
          <w:rFonts w:ascii="Segoe UI" w:hAnsi="Segoe UI" w:cs="Segoe UI"/>
          <w:sz w:val="21"/>
          <w:szCs w:val="21"/>
        </w:rPr>
      </w:pPr>
      <w:r>
        <w:rPr>
          <w:rFonts w:ascii="Segoe UI" w:hAnsi="Segoe UI" w:cs="Segoe UI"/>
          <w:sz w:val="21"/>
          <w:szCs w:val="21"/>
        </w:rPr>
        <w:pict w14:anchorId="25681A15">
          <v:rect id="_x0000_i1027" style="width:0;height:1.5pt" o:hr="t" o:hrstd="t" o:hralign="center" fillcolor="#a0a0a0" stroked="f"/>
        </w:pict>
      </w:r>
    </w:p>
    <w:p w:rsidR="009C4092" w:rsidP="009C4092" w:rsidRDefault="009C4092" w14:paraId="63D65A01" w14:textId="77777777">
      <w:pPr>
        <w:pStyle w:val="Heading2"/>
        <w:spacing w:line="300" w:lineRule="atLeast"/>
        <w:rPr>
          <w:rFonts w:ascii="Segoe UI" w:hAnsi="Segoe UI" w:cs="Segoe UI"/>
          <w:sz w:val="36"/>
          <w:szCs w:val="36"/>
        </w:rPr>
      </w:pPr>
      <w:r>
        <w:rPr>
          <w:rStyle w:val="Strong"/>
          <w:rFonts w:ascii="Segoe UI" w:hAnsi="Segoe UI" w:cs="Segoe UI"/>
          <w:b w:val="0"/>
          <w:bCs w:val="0"/>
        </w:rPr>
        <w:t>I. INTRODUCTION</w:t>
      </w:r>
    </w:p>
    <w:p w:rsidR="009C4092" w:rsidP="009C4092" w:rsidRDefault="009C4092" w14:paraId="3147C3F6" w14:textId="70A1D7B2">
      <w:pPr>
        <w:pStyle w:val="NormalWeb"/>
        <w:spacing w:line="300" w:lineRule="atLeast"/>
        <w:rPr>
          <w:rFonts w:ascii="Segoe UI" w:hAnsi="Segoe UI" w:cs="Segoe UI"/>
          <w:sz w:val="21"/>
          <w:szCs w:val="21"/>
        </w:rPr>
      </w:pPr>
      <w:r w:rsidRPr="31694319" w:rsidR="009C4092">
        <w:rPr>
          <w:rFonts w:ascii="Segoe UI" w:hAnsi="Segoe UI" w:cs="Segoe UI"/>
          <w:sz w:val="21"/>
          <w:szCs w:val="21"/>
        </w:rPr>
        <w:t xml:space="preserve">Ameren’s defense </w:t>
      </w:r>
      <w:r w:rsidRPr="31694319" w:rsidR="611F6386">
        <w:rPr>
          <w:rFonts w:ascii="Segoe UI" w:hAnsi="Segoe UI" w:cs="Segoe UI"/>
          <w:sz w:val="21"/>
          <w:szCs w:val="21"/>
        </w:rPr>
        <w:t xml:space="preserve">brief </w:t>
      </w:r>
      <w:r w:rsidRPr="31694319" w:rsidR="009C4092">
        <w:rPr>
          <w:rFonts w:ascii="Segoe UI" w:hAnsi="Segoe UI" w:cs="Segoe UI"/>
          <w:sz w:val="21"/>
          <w:szCs w:val="21"/>
        </w:rPr>
        <w:t xml:space="preserve">rests on three central assertions: (1) that it violated no tariff </w:t>
      </w:r>
      <w:r w:rsidRPr="31694319" w:rsidR="1016590D">
        <w:rPr>
          <w:rFonts w:ascii="Segoe UI" w:hAnsi="Segoe UI" w:cs="Segoe UI"/>
          <w:sz w:val="21"/>
          <w:szCs w:val="21"/>
        </w:rPr>
        <w:t>n</w:t>
      </w:r>
      <w:r w:rsidRPr="31694319" w:rsidR="009C4092">
        <w:rPr>
          <w:rFonts w:ascii="Segoe UI" w:hAnsi="Segoe UI" w:cs="Segoe UI"/>
          <w:sz w:val="21"/>
          <w:szCs w:val="21"/>
        </w:rPr>
        <w:t>or statute; (2) that it responded promptly once contacted; and (3) that no relief is available as a matter of law. These assertions are not supported by competent and substantial evidence and are inconsistent with the record</w:t>
      </w:r>
      <w:r w:rsidRPr="31694319" w:rsidR="5F87E8F9">
        <w:rPr>
          <w:rFonts w:ascii="Segoe UI" w:hAnsi="Segoe UI" w:cs="Segoe UI"/>
          <w:sz w:val="21"/>
          <w:szCs w:val="21"/>
        </w:rPr>
        <w:t>.</w:t>
      </w:r>
    </w:p>
    <w:p w:rsidR="009C4092" w:rsidP="009C4092" w:rsidRDefault="009C4092" w14:paraId="293587EA" w14:textId="3738ADBF">
      <w:pPr>
        <w:pStyle w:val="NormalWeb"/>
        <w:spacing w:line="300" w:lineRule="atLeast"/>
        <w:rPr>
          <w:rFonts w:ascii="Segoe UI" w:hAnsi="Segoe UI" w:cs="Segoe UI"/>
          <w:sz w:val="21"/>
          <w:szCs w:val="21"/>
        </w:rPr>
      </w:pPr>
      <w:r w:rsidRPr="31694319" w:rsidR="009C4092">
        <w:rPr>
          <w:rFonts w:ascii="Segoe UI" w:hAnsi="Segoe UI" w:cs="Segoe UI"/>
          <w:sz w:val="21"/>
          <w:szCs w:val="21"/>
        </w:rPr>
        <w:t xml:space="preserve">Rather than presenting case-specific proof, Ameren relies on generalized </w:t>
      </w:r>
      <w:r w:rsidRPr="31694319" w:rsidR="1C7C6BD2">
        <w:rPr>
          <w:rFonts w:ascii="Segoe UI" w:hAnsi="Segoe UI" w:cs="Segoe UI"/>
          <w:sz w:val="21"/>
          <w:szCs w:val="21"/>
        </w:rPr>
        <w:t xml:space="preserve">“cookie-cutter” </w:t>
      </w:r>
      <w:r w:rsidRPr="31694319" w:rsidR="009C4092">
        <w:rPr>
          <w:rFonts w:ascii="Segoe UI" w:hAnsi="Segoe UI" w:cs="Segoe UI"/>
          <w:sz w:val="21"/>
          <w:szCs w:val="21"/>
        </w:rPr>
        <w:t xml:space="preserve">practices, speculative testimony, and procedural defenses. The record </w:t>
      </w:r>
      <w:r w:rsidRPr="31694319" w:rsidR="009C4092">
        <w:rPr>
          <w:rFonts w:ascii="Segoe UI" w:hAnsi="Segoe UI" w:cs="Segoe UI"/>
          <w:sz w:val="21"/>
          <w:szCs w:val="21"/>
        </w:rPr>
        <w:t>demonstrates deficiencies in inspection practices, failure of proof as to causation, and unreasonable barriers to timely customer reporting. Under Missouri law and Commission precedent, these failures are sufficient to warrant relief.</w:t>
      </w:r>
    </w:p>
    <w:p w:rsidR="009C4092" w:rsidP="009C4092" w:rsidRDefault="00E22A87" w14:paraId="05ABE3CB" w14:textId="77777777">
      <w:pPr>
        <w:spacing w:line="300" w:lineRule="atLeast"/>
        <w:rPr>
          <w:rFonts w:ascii="Segoe UI" w:hAnsi="Segoe UI" w:cs="Segoe UI"/>
          <w:sz w:val="21"/>
          <w:szCs w:val="21"/>
        </w:rPr>
      </w:pPr>
      <w:r>
        <w:rPr>
          <w:rFonts w:ascii="Segoe UI" w:hAnsi="Segoe UI" w:cs="Segoe UI"/>
          <w:sz w:val="21"/>
          <w:szCs w:val="21"/>
        </w:rPr>
        <w:pict w14:anchorId="25BD6123">
          <v:rect id="_x0000_i1028" style="width:0;height:1.5pt" o:hr="t" o:hrstd="t" o:hralign="center" fillcolor="#a0a0a0" stroked="f"/>
        </w:pict>
      </w:r>
    </w:p>
    <w:p w:rsidR="009C4092" w:rsidP="009C4092" w:rsidRDefault="009C4092" w14:paraId="2E4E96AC" w14:textId="77777777">
      <w:pPr>
        <w:pStyle w:val="Heading2"/>
        <w:spacing w:line="300" w:lineRule="atLeast"/>
        <w:rPr>
          <w:rFonts w:ascii="Segoe UI" w:hAnsi="Segoe UI" w:cs="Segoe UI"/>
          <w:sz w:val="36"/>
          <w:szCs w:val="36"/>
        </w:rPr>
      </w:pPr>
      <w:r>
        <w:rPr>
          <w:rStyle w:val="Strong"/>
          <w:rFonts w:ascii="Segoe UI" w:hAnsi="Segoe UI" w:cs="Segoe UI"/>
          <w:b w:val="0"/>
          <w:bCs w:val="0"/>
        </w:rPr>
        <w:t>II. STANDARD OF PROOF AND BURDEN</w:t>
      </w:r>
    </w:p>
    <w:p w:rsidR="009C4092" w:rsidP="009C4092" w:rsidRDefault="009C4092" w14:paraId="17F7199B" w14:textId="77777777">
      <w:pPr>
        <w:pStyle w:val="NormalWeb"/>
        <w:spacing w:line="300" w:lineRule="atLeast"/>
        <w:rPr>
          <w:rFonts w:ascii="Segoe UI" w:hAnsi="Segoe UI" w:cs="Segoe UI"/>
          <w:sz w:val="21"/>
          <w:szCs w:val="21"/>
        </w:rPr>
      </w:pPr>
      <w:r>
        <w:rPr>
          <w:rFonts w:ascii="Segoe UI" w:hAnsi="Segoe UI" w:cs="Segoe UI"/>
          <w:sz w:val="21"/>
          <w:szCs w:val="21"/>
        </w:rPr>
        <w:t>In a formal complaint proceeding before the Missouri Public Service Commission, the complainant bears the initial burden of proof to establish, by a preponderance of the evidence, that the utility has violated a statute, tariff, Commission rule, or order. See 20 CSR 4240</w:t>
      </w:r>
      <w:r>
        <w:rPr>
          <w:rFonts w:ascii="Segoe UI" w:hAnsi="Segoe UI" w:cs="Segoe UI"/>
          <w:sz w:val="21"/>
          <w:szCs w:val="21"/>
        </w:rPr>
        <w:noBreakHyphen/>
      </w:r>
      <w:r>
        <w:rPr>
          <w:rFonts w:ascii="Segoe UI" w:hAnsi="Segoe UI" w:cs="Segoe UI"/>
          <w:sz w:val="21"/>
          <w:szCs w:val="21"/>
        </w:rPr>
        <w:t xml:space="preserve">2.070(1), (4). </w:t>
      </w:r>
      <w:hyperlink w:history="1" r:id="rId4">
        <w:r>
          <w:rPr>
            <w:rStyle w:val="Hyperlink"/>
            <w:rFonts w:ascii="Segoe UI" w:hAnsi="Segoe UI" w:cs="Segoe UI"/>
            <w:sz w:val="21"/>
            <w:szCs w:val="21"/>
          </w:rPr>
          <w:t>[law.cornell.edu]</w:t>
        </w:r>
      </w:hyperlink>
    </w:p>
    <w:p w:rsidR="009C4092" w:rsidP="009C4092" w:rsidRDefault="009C4092" w14:paraId="7D9E0FF8" w14:textId="2610440A">
      <w:pPr>
        <w:pStyle w:val="NormalWeb"/>
        <w:spacing w:line="300" w:lineRule="atLeast"/>
        <w:rPr>
          <w:rFonts w:ascii="Segoe UI" w:hAnsi="Segoe UI" w:cs="Segoe UI"/>
          <w:sz w:val="21"/>
          <w:szCs w:val="21"/>
        </w:rPr>
      </w:pPr>
      <w:r w:rsidRPr="31694319" w:rsidR="009C4092">
        <w:rPr>
          <w:rFonts w:ascii="Segoe UI" w:hAnsi="Segoe UI" w:cs="Segoe UI"/>
          <w:sz w:val="21"/>
          <w:szCs w:val="21"/>
        </w:rPr>
        <w:t xml:space="preserve">A “preponderance of the evidence” requires that the asserted facts </w:t>
      </w:r>
      <w:r w:rsidRPr="31694319" w:rsidR="009C4092">
        <w:rPr>
          <w:rFonts w:ascii="Segoe UI" w:hAnsi="Segoe UI" w:cs="Segoe UI"/>
          <w:sz w:val="21"/>
          <w:szCs w:val="21"/>
        </w:rPr>
        <w:t>are</w:t>
      </w:r>
      <w:r w:rsidRPr="31694319" w:rsidR="009C4092">
        <w:rPr>
          <w:rFonts w:ascii="Segoe UI" w:hAnsi="Segoe UI" w:cs="Segoe UI"/>
          <w:sz w:val="21"/>
          <w:szCs w:val="21"/>
        </w:rPr>
        <w:t xml:space="preserve"> more likely </w:t>
      </w:r>
      <w:r w:rsidRPr="31694319" w:rsidR="5F239EC3">
        <w:rPr>
          <w:rFonts w:ascii="Segoe UI" w:hAnsi="Segoe UI" w:cs="Segoe UI"/>
          <w:sz w:val="21"/>
          <w:szCs w:val="21"/>
        </w:rPr>
        <w:t>to be true</w:t>
      </w:r>
      <w:r w:rsidRPr="31694319" w:rsidR="009C4092">
        <w:rPr>
          <w:rFonts w:ascii="Segoe UI" w:hAnsi="Segoe UI" w:cs="Segoe UI"/>
          <w:sz w:val="21"/>
          <w:szCs w:val="21"/>
        </w:rPr>
        <w:t xml:space="preserve"> than not. Once a complainant </w:t>
      </w:r>
      <w:r w:rsidRPr="31694319" w:rsidR="009C4092">
        <w:rPr>
          <w:rFonts w:ascii="Segoe UI" w:hAnsi="Segoe UI" w:cs="Segoe UI"/>
          <w:sz w:val="21"/>
          <w:szCs w:val="21"/>
        </w:rPr>
        <w:t>establishes</w:t>
      </w:r>
      <w:r w:rsidRPr="31694319" w:rsidR="009C4092">
        <w:rPr>
          <w:rFonts w:ascii="Segoe UI" w:hAnsi="Segoe UI" w:cs="Segoe UI"/>
          <w:sz w:val="21"/>
          <w:szCs w:val="21"/>
        </w:rPr>
        <w:t xml:space="preserve"> a prima facie case </w:t>
      </w:r>
      <w:r w:rsidRPr="31694319" w:rsidR="009C4092">
        <w:rPr>
          <w:rFonts w:ascii="Segoe UI" w:hAnsi="Segoe UI" w:cs="Segoe UI"/>
          <w:sz w:val="21"/>
          <w:szCs w:val="21"/>
        </w:rPr>
        <w:t>demonstrating</w:t>
      </w:r>
      <w:r w:rsidRPr="31694319" w:rsidR="009C4092">
        <w:rPr>
          <w:rFonts w:ascii="Segoe UI" w:hAnsi="Segoe UI" w:cs="Segoe UI"/>
          <w:sz w:val="21"/>
          <w:szCs w:val="21"/>
        </w:rPr>
        <w:t xml:space="preserve"> that utility facilities or practices were unsafe, inadequate, or unreasonable under Section 393.130, </w:t>
      </w:r>
      <w:r w:rsidRPr="31694319" w:rsidR="009C4092">
        <w:rPr>
          <w:rFonts w:ascii="Segoe UI" w:hAnsi="Segoe UI" w:cs="Segoe UI"/>
          <w:sz w:val="21"/>
          <w:szCs w:val="21"/>
        </w:rPr>
        <w:t>RSMo</w:t>
      </w:r>
      <w:r w:rsidRPr="31694319" w:rsidR="009C4092">
        <w:rPr>
          <w:rFonts w:ascii="Segoe UI" w:hAnsi="Segoe UI" w:cs="Segoe UI"/>
          <w:sz w:val="21"/>
          <w:szCs w:val="21"/>
        </w:rPr>
        <w:t xml:space="preserve">, the burden shifts to the utility to rebut that showing with competent and substantial evidence. </w:t>
      </w:r>
      <w:hyperlink r:id="R14f4a1752c5f400d">
        <w:r w:rsidRPr="31694319" w:rsidR="009C4092">
          <w:rPr>
            <w:rStyle w:val="Hyperlink"/>
            <w:rFonts w:ascii="Segoe UI" w:hAnsi="Segoe UI" w:cs="Segoe UI"/>
            <w:sz w:val="21"/>
            <w:szCs w:val="21"/>
          </w:rPr>
          <w:t>[law.justia.com]</w:t>
        </w:r>
      </w:hyperlink>
    </w:p>
    <w:p w:rsidR="009C4092" w:rsidP="009C4092" w:rsidRDefault="009C4092" w14:paraId="33D793EE" w14:textId="77777777">
      <w:pPr>
        <w:pStyle w:val="NormalWeb"/>
        <w:spacing w:line="300" w:lineRule="atLeast"/>
        <w:rPr>
          <w:rFonts w:ascii="Segoe UI" w:hAnsi="Segoe UI" w:cs="Segoe UI"/>
          <w:sz w:val="21"/>
          <w:szCs w:val="21"/>
        </w:rPr>
      </w:pPr>
      <w:r>
        <w:rPr>
          <w:rFonts w:ascii="Segoe UI" w:hAnsi="Segoe UI" w:cs="Segoe UI"/>
          <w:sz w:val="21"/>
          <w:szCs w:val="21"/>
        </w:rPr>
        <w:t>The Commission does not accept speculation or generalized practice as sufficient proof. A utility must present credible, case-specific evidence demonstrating that it acted prudently and in compliance with its obligations. Where the evidence offered is unsupported, internally inconsistent, or based on memory alone without documentation, the utility has failed to meet its burden.</w:t>
      </w:r>
    </w:p>
    <w:p w:rsidR="009C4092" w:rsidP="009C4092" w:rsidRDefault="009C4092" w14:paraId="7052EE98" w14:textId="77777777">
      <w:pPr>
        <w:pStyle w:val="NormalWeb"/>
        <w:spacing w:line="300" w:lineRule="atLeast"/>
        <w:rPr>
          <w:rFonts w:ascii="Segoe UI" w:hAnsi="Segoe UI" w:cs="Segoe UI"/>
          <w:sz w:val="21"/>
          <w:szCs w:val="21"/>
        </w:rPr>
      </w:pPr>
      <w:r>
        <w:rPr>
          <w:rFonts w:ascii="Segoe UI" w:hAnsi="Segoe UI" w:cs="Segoe UI"/>
          <w:sz w:val="21"/>
          <w:szCs w:val="21"/>
        </w:rPr>
        <w:t xml:space="preserve">Further, under Section 386.570, </w:t>
      </w:r>
      <w:proofErr w:type="spellStart"/>
      <w:r>
        <w:rPr>
          <w:rFonts w:ascii="Segoe UI" w:hAnsi="Segoe UI" w:cs="Segoe UI"/>
          <w:sz w:val="21"/>
          <w:szCs w:val="21"/>
        </w:rPr>
        <w:t>RSMo</w:t>
      </w:r>
      <w:proofErr w:type="spellEnd"/>
      <w:r>
        <w:rPr>
          <w:rFonts w:ascii="Segoe UI" w:hAnsi="Segoe UI" w:cs="Segoe UI"/>
          <w:sz w:val="21"/>
          <w:szCs w:val="21"/>
        </w:rPr>
        <w:t xml:space="preserve">, the acts or omissions of a utility’s employees are attributable to the utility itself. Accordingly, unsupported recollection or the absence of contemporaneous documentation does not satisfy the utility’s burden where compliance with statutory and tariff obligations is at issue. </w:t>
      </w:r>
      <w:hyperlink w:history="1" r:id="rId6">
        <w:r>
          <w:rPr>
            <w:rStyle w:val="Hyperlink"/>
            <w:rFonts w:ascii="Segoe UI" w:hAnsi="Segoe UI" w:cs="Segoe UI"/>
            <w:sz w:val="21"/>
            <w:szCs w:val="21"/>
          </w:rPr>
          <w:t>[revisor.mo.gov]</w:t>
        </w:r>
      </w:hyperlink>
    </w:p>
    <w:p w:rsidR="009C4092" w:rsidP="009C4092" w:rsidRDefault="009C4092" w14:paraId="389834F4" w14:textId="527B8614">
      <w:pPr>
        <w:pStyle w:val="NormalWeb"/>
        <w:spacing w:line="300" w:lineRule="atLeast"/>
        <w:rPr>
          <w:rFonts w:ascii="Segoe UI" w:hAnsi="Segoe UI" w:cs="Segoe UI"/>
          <w:sz w:val="21"/>
          <w:szCs w:val="21"/>
        </w:rPr>
      </w:pPr>
      <w:r w:rsidRPr="31694319" w:rsidR="009C4092">
        <w:rPr>
          <w:rFonts w:ascii="Segoe UI" w:hAnsi="Segoe UI" w:cs="Segoe UI"/>
          <w:sz w:val="21"/>
          <w:szCs w:val="21"/>
        </w:rPr>
        <w:t xml:space="preserve">Thus, once deficiencies in inspection, maintenance, or response are shown, Ameren must rebut that </w:t>
      </w:r>
      <w:r w:rsidRPr="31694319" w:rsidR="44A23378">
        <w:rPr>
          <w:rFonts w:ascii="Segoe UI" w:hAnsi="Segoe UI" w:cs="Segoe UI"/>
          <w:sz w:val="21"/>
          <w:szCs w:val="21"/>
        </w:rPr>
        <w:t>showing</w:t>
      </w:r>
      <w:r w:rsidRPr="31694319" w:rsidR="009C4092">
        <w:rPr>
          <w:rFonts w:ascii="Segoe UI" w:hAnsi="Segoe UI" w:cs="Segoe UI"/>
          <w:sz w:val="21"/>
          <w:szCs w:val="21"/>
        </w:rPr>
        <w:t xml:space="preserve"> </w:t>
      </w:r>
      <w:r w:rsidRPr="31694319" w:rsidR="49345F36">
        <w:rPr>
          <w:rFonts w:ascii="Segoe UI" w:hAnsi="Segoe UI" w:cs="Segoe UI"/>
          <w:sz w:val="21"/>
          <w:szCs w:val="21"/>
        </w:rPr>
        <w:t xml:space="preserve">with </w:t>
      </w:r>
      <w:r w:rsidRPr="31694319" w:rsidR="009C4092">
        <w:rPr>
          <w:rFonts w:ascii="Segoe UI" w:hAnsi="Segoe UI" w:cs="Segoe UI"/>
          <w:sz w:val="21"/>
          <w:szCs w:val="21"/>
        </w:rPr>
        <w:t xml:space="preserve">substantial, non-speculative evidence. Its failure to do so </w:t>
      </w:r>
      <w:r w:rsidRPr="31694319" w:rsidR="009C4092">
        <w:rPr>
          <w:rFonts w:ascii="Segoe UI" w:hAnsi="Segoe UI" w:cs="Segoe UI"/>
          <w:sz w:val="21"/>
          <w:szCs w:val="21"/>
        </w:rPr>
        <w:t>warrants</w:t>
      </w:r>
      <w:r w:rsidRPr="31694319" w:rsidR="009C4092">
        <w:rPr>
          <w:rFonts w:ascii="Segoe UI" w:hAnsi="Segoe UI" w:cs="Segoe UI"/>
          <w:sz w:val="21"/>
          <w:szCs w:val="21"/>
        </w:rPr>
        <w:t xml:space="preserve"> relief.</w:t>
      </w:r>
    </w:p>
    <w:p w:rsidR="009C4092" w:rsidP="009C4092" w:rsidRDefault="00E22A87" w14:paraId="423458AC" w14:textId="77777777">
      <w:pPr>
        <w:spacing w:line="300" w:lineRule="atLeast"/>
        <w:rPr>
          <w:rFonts w:ascii="Segoe UI" w:hAnsi="Segoe UI" w:cs="Segoe UI"/>
          <w:sz w:val="21"/>
          <w:szCs w:val="21"/>
        </w:rPr>
      </w:pPr>
      <w:r>
        <w:rPr>
          <w:rFonts w:ascii="Segoe UI" w:hAnsi="Segoe UI" w:cs="Segoe UI"/>
          <w:sz w:val="21"/>
          <w:szCs w:val="21"/>
        </w:rPr>
        <w:pict w14:anchorId="6D443675">
          <v:rect id="_x0000_i1029" style="width:0;height:1.5pt" o:hr="t" o:hrstd="t" o:hralign="center" fillcolor="#a0a0a0" stroked="f"/>
        </w:pict>
      </w:r>
    </w:p>
    <w:p w:rsidR="009C4092" w:rsidP="009C4092" w:rsidRDefault="009C4092" w14:paraId="6D3A84C4" w14:textId="77777777">
      <w:pPr>
        <w:pStyle w:val="Heading2"/>
        <w:spacing w:line="300" w:lineRule="atLeast"/>
        <w:rPr>
          <w:rFonts w:ascii="Segoe UI" w:hAnsi="Segoe UI" w:cs="Segoe UI"/>
          <w:sz w:val="36"/>
          <w:szCs w:val="36"/>
        </w:rPr>
      </w:pPr>
      <w:r>
        <w:rPr>
          <w:rStyle w:val="Strong"/>
          <w:rFonts w:ascii="Segoe UI" w:hAnsi="Segoe UI" w:cs="Segoe UI"/>
          <w:b w:val="0"/>
          <w:bCs w:val="0"/>
        </w:rPr>
        <w:t>III. AMEREN FAILED TO DEMONSTRATE COMPLIANCE WITH ITS DUTY TO PROVIDE SAFE AND RELIABLE SERVICE</w:t>
      </w:r>
    </w:p>
    <w:p w:rsidR="009C4092" w:rsidP="009C4092" w:rsidRDefault="009C4092" w14:paraId="79043B93" w14:textId="36AEA4A6">
      <w:pPr>
        <w:pStyle w:val="NormalWeb"/>
        <w:spacing w:line="300" w:lineRule="atLeast"/>
        <w:rPr>
          <w:rFonts w:ascii="Segoe UI" w:hAnsi="Segoe UI" w:cs="Segoe UI"/>
          <w:sz w:val="21"/>
          <w:szCs w:val="21"/>
        </w:rPr>
      </w:pPr>
      <w:r w:rsidRPr="31694319" w:rsidR="009C4092">
        <w:rPr>
          <w:rFonts w:ascii="Segoe UI" w:hAnsi="Segoe UI" w:cs="Segoe UI"/>
          <w:sz w:val="21"/>
          <w:szCs w:val="21"/>
        </w:rPr>
        <w:t>Ameren relies on aerial or elevated inspection imagery to claim compliance with its maintenance obligations</w:t>
      </w:r>
      <w:r w:rsidRPr="31694319" w:rsidR="49E7EA76">
        <w:rPr>
          <w:rFonts w:ascii="Segoe UI" w:hAnsi="Segoe UI" w:cs="Segoe UI"/>
          <w:sz w:val="21"/>
          <w:szCs w:val="21"/>
        </w:rPr>
        <w:t xml:space="preserve"> (Hearing Exhibits 26-29)</w:t>
      </w:r>
      <w:r w:rsidRPr="31694319" w:rsidR="009C4092">
        <w:rPr>
          <w:rFonts w:ascii="Segoe UI" w:hAnsi="Segoe UI" w:cs="Segoe UI"/>
          <w:sz w:val="21"/>
          <w:szCs w:val="21"/>
        </w:rPr>
        <w:t xml:space="preserve">. However, the evidence </w:t>
      </w:r>
      <w:r w:rsidRPr="31694319" w:rsidR="78F6884C">
        <w:rPr>
          <w:rFonts w:ascii="Segoe UI" w:hAnsi="Segoe UI" w:cs="Segoe UI"/>
          <w:sz w:val="21"/>
          <w:szCs w:val="21"/>
        </w:rPr>
        <w:t>shows that</w:t>
      </w:r>
      <w:r w:rsidRPr="31694319" w:rsidR="009C4092">
        <w:rPr>
          <w:rFonts w:ascii="Segoe UI" w:hAnsi="Segoe UI" w:cs="Segoe UI"/>
          <w:sz w:val="21"/>
          <w:szCs w:val="21"/>
        </w:rPr>
        <w:t xml:space="preserve"> these inspections provide only partial visibility of distribution lines. The sides and undersides of conductors, where defects are most likely to develop, are not visible in the submitted exhibits.</w:t>
      </w:r>
    </w:p>
    <w:p w:rsidR="009C4092" w:rsidP="009C4092" w:rsidRDefault="009C4092" w14:paraId="326E77A8" w14:textId="77777777">
      <w:pPr>
        <w:pStyle w:val="NormalWeb"/>
        <w:spacing w:line="300" w:lineRule="atLeast"/>
        <w:rPr>
          <w:rFonts w:ascii="Segoe UI" w:hAnsi="Segoe UI" w:cs="Segoe UI"/>
          <w:sz w:val="21"/>
          <w:szCs w:val="21"/>
        </w:rPr>
      </w:pPr>
      <w:r>
        <w:rPr>
          <w:rFonts w:ascii="Segoe UI" w:hAnsi="Segoe UI" w:cs="Segoe UI"/>
          <w:sz w:val="21"/>
          <w:szCs w:val="21"/>
        </w:rPr>
        <w:t>At most, these inspections capture only a portion of the infrastructure. Such an incomplete methodology is insufficient to meet Ameren’s obligation to ensure safe and adequate service.</w:t>
      </w:r>
    </w:p>
    <w:p w:rsidR="009C4092" w:rsidP="009C4092" w:rsidRDefault="009C4092" w14:paraId="52F1283E" w14:textId="1269644B">
      <w:pPr>
        <w:pStyle w:val="NormalWeb"/>
        <w:spacing w:line="300" w:lineRule="atLeast"/>
        <w:rPr>
          <w:rFonts w:ascii="Segoe UI" w:hAnsi="Segoe UI" w:cs="Segoe UI"/>
          <w:sz w:val="21"/>
          <w:szCs w:val="21"/>
        </w:rPr>
      </w:pPr>
      <w:r w:rsidRPr="31694319" w:rsidR="009C4092">
        <w:rPr>
          <w:rFonts w:ascii="Segoe UI" w:hAnsi="Segoe UI" w:cs="Segoe UI"/>
          <w:sz w:val="21"/>
          <w:szCs w:val="21"/>
        </w:rPr>
        <w:t xml:space="preserve">Missouri ratepayers fund Ameren with the expectation that it will conduct meaningful inspections capable of </w:t>
      </w:r>
      <w:r w:rsidRPr="31694319" w:rsidR="009C4092">
        <w:rPr>
          <w:rFonts w:ascii="Segoe UI" w:hAnsi="Segoe UI" w:cs="Segoe UI"/>
          <w:sz w:val="21"/>
          <w:szCs w:val="21"/>
        </w:rPr>
        <w:t>identifying</w:t>
      </w:r>
      <w:r w:rsidRPr="31694319" w:rsidR="009C4092">
        <w:rPr>
          <w:rFonts w:ascii="Segoe UI" w:hAnsi="Segoe UI" w:cs="Segoe UI"/>
          <w:sz w:val="21"/>
          <w:szCs w:val="21"/>
        </w:rPr>
        <w:t xml:space="preserve"> hazards, not merely document surface-level observations</w:t>
      </w:r>
      <w:r w:rsidRPr="31694319" w:rsidR="71689F2F">
        <w:rPr>
          <w:rFonts w:ascii="Segoe UI" w:hAnsi="Segoe UI" w:cs="Segoe UI"/>
          <w:sz w:val="21"/>
          <w:szCs w:val="21"/>
        </w:rPr>
        <w:t xml:space="preserve"> via tertiary methods</w:t>
      </w:r>
      <w:r w:rsidRPr="31694319" w:rsidR="009C4092">
        <w:rPr>
          <w:rFonts w:ascii="Segoe UI" w:hAnsi="Segoe UI" w:cs="Segoe UI"/>
          <w:sz w:val="21"/>
          <w:szCs w:val="21"/>
        </w:rPr>
        <w:t xml:space="preserve">. The record </w:t>
      </w:r>
      <w:r w:rsidRPr="31694319" w:rsidR="009C4092">
        <w:rPr>
          <w:rFonts w:ascii="Segoe UI" w:hAnsi="Segoe UI" w:cs="Segoe UI"/>
          <w:sz w:val="21"/>
          <w:szCs w:val="21"/>
        </w:rPr>
        <w:t>demonstrates</w:t>
      </w:r>
      <w:r w:rsidRPr="31694319" w:rsidR="009C4092">
        <w:rPr>
          <w:rFonts w:ascii="Segoe UI" w:hAnsi="Segoe UI" w:cs="Segoe UI"/>
          <w:sz w:val="21"/>
          <w:szCs w:val="21"/>
        </w:rPr>
        <w:t xml:space="preserve"> that Ameren’s inspection practices are inadequate to detect the very condition that caused the </w:t>
      </w:r>
      <w:r w:rsidRPr="31694319" w:rsidR="66E3EB4C">
        <w:rPr>
          <w:rFonts w:ascii="Segoe UI" w:hAnsi="Segoe UI" w:cs="Segoe UI"/>
          <w:sz w:val="21"/>
          <w:szCs w:val="21"/>
        </w:rPr>
        <w:t xml:space="preserve">dangerous and costly </w:t>
      </w:r>
      <w:r w:rsidRPr="31694319" w:rsidR="009C4092">
        <w:rPr>
          <w:rFonts w:ascii="Segoe UI" w:hAnsi="Segoe UI" w:cs="Segoe UI"/>
          <w:sz w:val="21"/>
          <w:szCs w:val="21"/>
        </w:rPr>
        <w:t>incident at issue.</w:t>
      </w:r>
    </w:p>
    <w:p w:rsidR="009C4092" w:rsidP="009C4092" w:rsidRDefault="00E22A87" w14:paraId="08A1C5EB" w14:textId="77777777">
      <w:pPr>
        <w:spacing w:line="300" w:lineRule="atLeast"/>
        <w:rPr>
          <w:rFonts w:ascii="Segoe UI" w:hAnsi="Segoe UI" w:cs="Segoe UI"/>
          <w:sz w:val="21"/>
          <w:szCs w:val="21"/>
        </w:rPr>
      </w:pPr>
      <w:r>
        <w:rPr>
          <w:rFonts w:ascii="Segoe UI" w:hAnsi="Segoe UI" w:cs="Segoe UI"/>
          <w:sz w:val="21"/>
          <w:szCs w:val="21"/>
        </w:rPr>
        <w:pict w14:anchorId="6CEA0FED">
          <v:rect id="_x0000_i1030" style="width:0;height:1.5pt" o:hr="t" o:hrstd="t" o:hralign="center" fillcolor="#a0a0a0" stroked="f"/>
        </w:pict>
      </w:r>
    </w:p>
    <w:p w:rsidR="009C4092" w:rsidP="009C4092" w:rsidRDefault="009C4092" w14:paraId="4132715B" w14:textId="77777777">
      <w:pPr>
        <w:pStyle w:val="Heading2"/>
        <w:spacing w:line="300" w:lineRule="atLeast"/>
        <w:rPr>
          <w:rFonts w:ascii="Segoe UI" w:hAnsi="Segoe UI" w:cs="Segoe UI"/>
          <w:sz w:val="36"/>
          <w:szCs w:val="36"/>
        </w:rPr>
      </w:pPr>
      <w:r>
        <w:rPr>
          <w:rStyle w:val="Strong"/>
          <w:rFonts w:ascii="Segoe UI" w:hAnsi="Segoe UI" w:cs="Segoe UI"/>
          <w:b w:val="0"/>
          <w:bCs w:val="0"/>
        </w:rPr>
        <w:t>IV. AMEREN’S RODENT THEORY IS SPECULATIVE AND NOT SUPPORTED BY THE RECORD</w:t>
      </w:r>
    </w:p>
    <w:p w:rsidR="009C4092" w:rsidP="009C4092" w:rsidRDefault="009C4092" w14:paraId="214C1690" w14:textId="752186C9">
      <w:pPr>
        <w:pStyle w:val="NormalWeb"/>
        <w:spacing w:line="300" w:lineRule="atLeast"/>
        <w:rPr>
          <w:rFonts w:ascii="Segoe UI" w:hAnsi="Segoe UI" w:cs="Segoe UI"/>
          <w:sz w:val="21"/>
          <w:szCs w:val="21"/>
        </w:rPr>
      </w:pPr>
      <w:r w:rsidRPr="31694319" w:rsidR="009C4092">
        <w:rPr>
          <w:rFonts w:ascii="Segoe UI" w:hAnsi="Segoe UI" w:cs="Segoe UI"/>
          <w:sz w:val="21"/>
          <w:szCs w:val="21"/>
        </w:rPr>
        <w:t>Ameren attributes the incident to a rodent. This theory is unsupported by competent evidence.</w:t>
      </w:r>
    </w:p>
    <w:p w:rsidR="009C4092" w:rsidP="009C4092" w:rsidRDefault="009C4092" w14:paraId="4A09F233" w14:textId="43C3F8D6">
      <w:pPr>
        <w:pStyle w:val="NormalWeb"/>
        <w:spacing w:line="300" w:lineRule="atLeast"/>
        <w:rPr>
          <w:rFonts w:ascii="Segoe UI" w:hAnsi="Segoe UI" w:cs="Segoe UI"/>
          <w:sz w:val="21"/>
          <w:szCs w:val="21"/>
        </w:rPr>
      </w:pPr>
      <w:r w:rsidRPr="31694319" w:rsidR="009C4092">
        <w:rPr>
          <w:rFonts w:ascii="Segoe UI" w:hAnsi="Segoe UI" w:cs="Segoe UI"/>
          <w:sz w:val="21"/>
          <w:szCs w:val="21"/>
        </w:rPr>
        <w:t xml:space="preserve">No evidence of a rodent exists in the record. No carcass, no photographs, and no written observations. </w:t>
      </w:r>
      <w:r w:rsidRPr="31694319" w:rsidR="009C4092">
        <w:rPr>
          <w:rFonts w:ascii="Segoe UI" w:hAnsi="Segoe UI" w:cs="Segoe UI"/>
          <w:sz w:val="21"/>
          <w:szCs w:val="21"/>
        </w:rPr>
        <w:t>The complete absence of corroborating evidence undermines Ameren’s claim.</w:t>
      </w:r>
      <w:r w:rsidRPr="31694319" w:rsidR="009C4092">
        <w:rPr>
          <w:rFonts w:ascii="Segoe UI" w:hAnsi="Segoe UI" w:cs="Segoe UI"/>
          <w:sz w:val="21"/>
          <w:szCs w:val="21"/>
        </w:rPr>
        <w:t xml:space="preserve"> Ameren asks the Commission to accept that a rodent caused multiple line failures in </w:t>
      </w:r>
      <w:r w:rsidRPr="31694319" w:rsidR="5AEBFC2B">
        <w:rPr>
          <w:rFonts w:ascii="Segoe UI" w:hAnsi="Segoe UI" w:cs="Segoe UI"/>
          <w:sz w:val="21"/>
          <w:szCs w:val="21"/>
        </w:rPr>
        <w:t xml:space="preserve">the middle of </w:t>
      </w:r>
      <w:r w:rsidRPr="31694319" w:rsidR="009C4092">
        <w:rPr>
          <w:rFonts w:ascii="Segoe UI" w:hAnsi="Segoe UI" w:cs="Segoe UI"/>
          <w:sz w:val="21"/>
          <w:szCs w:val="21"/>
        </w:rPr>
        <w:t xml:space="preserve">an exposed roadway environment, despite the inherent instability </w:t>
      </w:r>
      <w:r w:rsidRPr="31694319" w:rsidR="27EA24BA">
        <w:rPr>
          <w:rFonts w:ascii="Segoe UI" w:hAnsi="Segoe UI" w:cs="Segoe UI"/>
          <w:sz w:val="21"/>
          <w:szCs w:val="21"/>
        </w:rPr>
        <w:t xml:space="preserve">of a sagging (not taut) line </w:t>
      </w:r>
      <w:r w:rsidRPr="31694319" w:rsidR="009C4092">
        <w:rPr>
          <w:rFonts w:ascii="Segoe UI" w:hAnsi="Segoe UI" w:cs="Segoe UI"/>
          <w:sz w:val="21"/>
          <w:szCs w:val="21"/>
        </w:rPr>
        <w:t>and danger of energized conductors. This explanation is less credible than the straightforward conclusion that the line was compromised due to inadequate inspection and maintenance.</w:t>
      </w:r>
    </w:p>
    <w:p w:rsidR="009C4092" w:rsidP="009C4092" w:rsidRDefault="009C4092" w14:paraId="02D94C29" w14:textId="6AB60168">
      <w:pPr>
        <w:pStyle w:val="NormalWeb"/>
        <w:spacing w:line="300" w:lineRule="atLeast"/>
        <w:rPr>
          <w:rFonts w:ascii="Segoe UI" w:hAnsi="Segoe UI" w:cs="Segoe UI"/>
          <w:sz w:val="21"/>
          <w:szCs w:val="21"/>
        </w:rPr>
      </w:pPr>
      <w:r w:rsidRPr="31694319" w:rsidR="009C4092">
        <w:rPr>
          <w:rFonts w:ascii="Segoe UI" w:hAnsi="Segoe UI" w:cs="Segoe UI"/>
          <w:sz w:val="21"/>
          <w:szCs w:val="21"/>
        </w:rPr>
        <w:t xml:space="preserve">Finally, the credibility of Ameren’s lineman testimony is </w:t>
      </w:r>
      <w:r w:rsidRPr="31694319" w:rsidR="7D9CD112">
        <w:rPr>
          <w:rFonts w:ascii="Segoe UI" w:hAnsi="Segoe UI" w:cs="Segoe UI"/>
          <w:sz w:val="21"/>
          <w:szCs w:val="21"/>
        </w:rPr>
        <w:t xml:space="preserve">inherently unreliable and </w:t>
      </w:r>
      <w:r w:rsidRPr="31694319" w:rsidR="009C4092">
        <w:rPr>
          <w:rFonts w:ascii="Segoe UI" w:hAnsi="Segoe UI" w:cs="Segoe UI"/>
          <w:sz w:val="21"/>
          <w:szCs w:val="21"/>
        </w:rPr>
        <w:t xml:space="preserve">significantly undermined by the absence of any contemporaneous documentation and the nature of the testimony itself. The witness testified that he had </w:t>
      </w:r>
      <w:r w:rsidRPr="31694319" w:rsidR="009C4092">
        <w:rPr>
          <w:rFonts w:ascii="Segoe UI" w:hAnsi="Segoe UI" w:cs="Segoe UI"/>
          <w:sz w:val="21"/>
          <w:szCs w:val="21"/>
        </w:rPr>
        <w:t>encountered</w:t>
      </w:r>
      <w:r w:rsidRPr="31694319" w:rsidR="009C4092">
        <w:rPr>
          <w:rFonts w:ascii="Segoe UI" w:hAnsi="Segoe UI" w:cs="Segoe UI"/>
          <w:sz w:val="21"/>
          <w:szCs w:val="21"/>
        </w:rPr>
        <w:t xml:space="preserve"> thousands of </w:t>
      </w:r>
      <w:r w:rsidRPr="31694319" w:rsidR="39693702">
        <w:rPr>
          <w:rFonts w:ascii="Segoe UI" w:hAnsi="Segoe UI" w:cs="Segoe UI"/>
          <w:sz w:val="21"/>
          <w:szCs w:val="21"/>
        </w:rPr>
        <w:t>downed lines</w:t>
      </w:r>
      <w:r w:rsidRPr="31694319" w:rsidR="009C4092">
        <w:rPr>
          <w:rFonts w:ascii="Segoe UI" w:hAnsi="Segoe UI" w:cs="Segoe UI"/>
          <w:sz w:val="21"/>
          <w:szCs w:val="21"/>
        </w:rPr>
        <w:t xml:space="preserve"> and was </w:t>
      </w:r>
      <w:r w:rsidRPr="31694319" w:rsidR="009C4092">
        <w:rPr>
          <w:rFonts w:ascii="Segoe UI" w:hAnsi="Segoe UI" w:cs="Segoe UI"/>
          <w:sz w:val="21"/>
          <w:szCs w:val="21"/>
        </w:rPr>
        <w:t>attempting</w:t>
      </w:r>
      <w:r w:rsidRPr="31694319" w:rsidR="009C4092">
        <w:rPr>
          <w:rFonts w:ascii="Segoe UI" w:hAnsi="Segoe UI" w:cs="Segoe UI"/>
          <w:sz w:val="21"/>
          <w:szCs w:val="21"/>
        </w:rPr>
        <w:t xml:space="preserve"> to recall the cause of this specific event </w:t>
      </w:r>
      <w:r w:rsidRPr="31694319" w:rsidR="009C4092">
        <w:rPr>
          <w:rFonts w:ascii="Segoe UI" w:hAnsi="Segoe UI" w:cs="Segoe UI"/>
          <w:sz w:val="21"/>
          <w:szCs w:val="21"/>
        </w:rPr>
        <w:t>nearly two</w:t>
      </w:r>
      <w:r w:rsidRPr="31694319" w:rsidR="009C4092">
        <w:rPr>
          <w:rFonts w:ascii="Segoe UI" w:hAnsi="Segoe UI" w:cs="Segoe UI"/>
          <w:sz w:val="21"/>
          <w:szCs w:val="21"/>
        </w:rPr>
        <w:t xml:space="preserve"> years after it occurred. Without</w:t>
      </w:r>
      <w:r w:rsidRPr="31694319" w:rsidR="7BE812A9">
        <w:rPr>
          <w:rFonts w:ascii="Segoe UI" w:hAnsi="Segoe UI" w:cs="Segoe UI"/>
          <w:sz w:val="21"/>
          <w:szCs w:val="21"/>
        </w:rPr>
        <w:t xml:space="preserve"> a carcass,</w:t>
      </w:r>
      <w:r w:rsidRPr="31694319" w:rsidR="009C4092">
        <w:rPr>
          <w:rFonts w:ascii="Segoe UI" w:hAnsi="Segoe UI" w:cs="Segoe UI"/>
          <w:sz w:val="21"/>
          <w:szCs w:val="21"/>
        </w:rPr>
        <w:t xml:space="preserve"> notes, photographs, or any recorded observations </w:t>
      </w:r>
      <w:r w:rsidRPr="31694319" w:rsidR="47D8170B">
        <w:rPr>
          <w:rFonts w:ascii="Segoe UI" w:hAnsi="Segoe UI" w:cs="Segoe UI"/>
          <w:sz w:val="21"/>
          <w:szCs w:val="21"/>
        </w:rPr>
        <w:t xml:space="preserve">or contemporaneous documentation </w:t>
      </w:r>
      <w:r w:rsidRPr="31694319" w:rsidR="009C4092">
        <w:rPr>
          <w:rFonts w:ascii="Segoe UI" w:hAnsi="Segoe UI" w:cs="Segoe UI"/>
          <w:sz w:val="21"/>
          <w:szCs w:val="21"/>
        </w:rPr>
        <w:t>from the date in question, this testimony amounts to post hoc speculation rather than reliable evidence. The Commission has consistently afforded greater weight to objective, contemporaneous evidence over unsupported recollection. Here, where no such documentation exists, the lineman’s testimony cannot satisfy Ameren’s burden of proving causation.</w:t>
      </w:r>
    </w:p>
    <w:p w:rsidR="009C4092" w:rsidP="009C4092" w:rsidRDefault="009C4092" w14:paraId="7A9D6212" w14:textId="77777777">
      <w:pPr>
        <w:pStyle w:val="NormalWeb"/>
        <w:spacing w:line="300" w:lineRule="atLeast"/>
        <w:rPr>
          <w:rFonts w:ascii="Segoe UI" w:hAnsi="Segoe UI" w:cs="Segoe UI"/>
          <w:sz w:val="21"/>
          <w:szCs w:val="21"/>
        </w:rPr>
      </w:pPr>
      <w:r>
        <w:rPr>
          <w:rFonts w:ascii="Segoe UI" w:hAnsi="Segoe UI" w:cs="Segoe UI"/>
          <w:sz w:val="21"/>
          <w:szCs w:val="21"/>
        </w:rPr>
        <w:t>Accordingly, Ameren has failed to meet its burden of proof on causation.</w:t>
      </w:r>
    </w:p>
    <w:p w:rsidR="009C4092" w:rsidP="009C4092" w:rsidRDefault="00E22A87" w14:paraId="02C83AB0" w14:textId="77777777">
      <w:pPr>
        <w:spacing w:line="300" w:lineRule="atLeast"/>
        <w:rPr>
          <w:rFonts w:ascii="Segoe UI" w:hAnsi="Segoe UI" w:cs="Segoe UI"/>
          <w:sz w:val="21"/>
          <w:szCs w:val="21"/>
        </w:rPr>
      </w:pPr>
      <w:r>
        <w:rPr>
          <w:rFonts w:ascii="Segoe UI" w:hAnsi="Segoe UI" w:cs="Segoe UI"/>
          <w:sz w:val="21"/>
          <w:szCs w:val="21"/>
        </w:rPr>
        <w:pict w14:anchorId="6A71E6D0">
          <v:rect id="_x0000_i1031" style="width:0;height:1.5pt" o:hr="t" o:hrstd="t" o:hralign="center" fillcolor="#a0a0a0" stroked="f"/>
        </w:pict>
      </w:r>
    </w:p>
    <w:p w:rsidR="009C4092" w:rsidP="009C4092" w:rsidRDefault="009C4092" w14:paraId="56802603" w14:textId="77777777">
      <w:pPr>
        <w:pStyle w:val="Heading2"/>
        <w:spacing w:line="300" w:lineRule="atLeast"/>
        <w:rPr>
          <w:rFonts w:ascii="Segoe UI" w:hAnsi="Segoe UI" w:cs="Segoe UI"/>
          <w:sz w:val="36"/>
          <w:szCs w:val="36"/>
        </w:rPr>
      </w:pPr>
      <w:r>
        <w:rPr>
          <w:rStyle w:val="Strong"/>
          <w:rFonts w:ascii="Segoe UI" w:hAnsi="Segoe UI" w:cs="Segoe UI"/>
          <w:b w:val="0"/>
          <w:bCs w:val="0"/>
        </w:rPr>
        <w:t>V. THE COMPLAINANT ACTED REASONABLY UNDER THE CIRCUMSTANCES</w:t>
      </w:r>
    </w:p>
    <w:p w:rsidR="009C4092" w:rsidP="009C4092" w:rsidRDefault="009C4092" w14:paraId="0D3F2427" w14:textId="77777777">
      <w:pPr>
        <w:pStyle w:val="NormalWeb"/>
        <w:spacing w:line="300" w:lineRule="atLeast"/>
        <w:rPr>
          <w:rFonts w:ascii="Segoe UI" w:hAnsi="Segoe UI" w:cs="Segoe UI"/>
          <w:sz w:val="21"/>
          <w:szCs w:val="21"/>
        </w:rPr>
      </w:pPr>
      <w:r>
        <w:rPr>
          <w:rFonts w:ascii="Segoe UI" w:hAnsi="Segoe UI" w:cs="Segoe UI"/>
          <w:sz w:val="21"/>
          <w:szCs w:val="21"/>
        </w:rPr>
        <w:t>Ameren’s argument that it responded promptly upon contact does not address the full record.</w:t>
      </w:r>
    </w:p>
    <w:p w:rsidR="009C4092" w:rsidP="009C4092" w:rsidRDefault="009C4092" w14:paraId="4A5A953A" w14:textId="77777777">
      <w:pPr>
        <w:pStyle w:val="NormalWeb"/>
        <w:spacing w:line="300" w:lineRule="atLeast"/>
        <w:rPr>
          <w:rFonts w:ascii="Segoe UI" w:hAnsi="Segoe UI" w:cs="Segoe UI"/>
          <w:sz w:val="21"/>
          <w:szCs w:val="21"/>
        </w:rPr>
      </w:pPr>
      <w:r>
        <w:rPr>
          <w:rFonts w:ascii="Segoe UI" w:hAnsi="Segoe UI" w:cs="Segoe UI"/>
          <w:sz w:val="21"/>
          <w:szCs w:val="21"/>
        </w:rPr>
        <w:t>The incident created a dangerous and confusing situation. As Ameren acknowledged, such events are inherently stressful for customers lacking technical expertise. (Tr. 107:1–22). The Complainant responded reasonably by attempting to diagnose the issue through electricians and by consulting neighbors.</w:t>
      </w:r>
    </w:p>
    <w:p w:rsidR="009C4092" w:rsidP="009C4092" w:rsidRDefault="009C4092" w14:paraId="101BC098" w14:textId="66853D15">
      <w:pPr>
        <w:pStyle w:val="NormalWeb"/>
        <w:spacing w:line="300" w:lineRule="atLeast"/>
        <w:rPr>
          <w:rFonts w:ascii="Segoe UI" w:hAnsi="Segoe UI" w:cs="Segoe UI"/>
          <w:sz w:val="21"/>
          <w:szCs w:val="21"/>
        </w:rPr>
      </w:pPr>
      <w:r w:rsidRPr="31694319" w:rsidR="240B4478">
        <w:rPr>
          <w:rFonts w:ascii="Segoe UI" w:hAnsi="Segoe UI" w:cs="Segoe UI"/>
          <w:sz w:val="21"/>
          <w:szCs w:val="21"/>
        </w:rPr>
        <w:t xml:space="preserve">In phone records supplied by the Complainant and shared </w:t>
      </w:r>
      <w:r w:rsidRPr="31694319" w:rsidR="32955CFE">
        <w:rPr>
          <w:rFonts w:ascii="Segoe UI" w:hAnsi="Segoe UI" w:cs="Segoe UI"/>
          <w:sz w:val="21"/>
          <w:szCs w:val="21"/>
        </w:rPr>
        <w:t xml:space="preserve">with </w:t>
      </w:r>
      <w:r w:rsidRPr="31694319" w:rsidR="240B4478">
        <w:rPr>
          <w:rFonts w:ascii="Segoe UI" w:hAnsi="Segoe UI" w:cs="Segoe UI"/>
          <w:sz w:val="21"/>
          <w:szCs w:val="21"/>
        </w:rPr>
        <w:t xml:space="preserve">Ameren and Staff before </w:t>
      </w:r>
      <w:r w:rsidRPr="31694319" w:rsidR="76BBA352">
        <w:rPr>
          <w:rFonts w:ascii="Segoe UI" w:hAnsi="Segoe UI" w:cs="Segoe UI"/>
          <w:sz w:val="21"/>
          <w:szCs w:val="21"/>
        </w:rPr>
        <w:t xml:space="preserve">and during </w:t>
      </w:r>
      <w:r w:rsidRPr="31694319" w:rsidR="240B4478">
        <w:rPr>
          <w:rFonts w:ascii="Segoe UI" w:hAnsi="Segoe UI" w:cs="Segoe UI"/>
          <w:sz w:val="21"/>
          <w:szCs w:val="21"/>
        </w:rPr>
        <w:t>the hearing</w:t>
      </w:r>
      <w:r w:rsidRPr="31694319" w:rsidR="6BC0D64E">
        <w:rPr>
          <w:rFonts w:ascii="Segoe UI" w:hAnsi="Segoe UI" w:cs="Segoe UI"/>
          <w:sz w:val="21"/>
          <w:szCs w:val="21"/>
        </w:rPr>
        <w:t>, t</w:t>
      </w:r>
      <w:r w:rsidRPr="31694319" w:rsidR="009C4092">
        <w:rPr>
          <w:rFonts w:ascii="Segoe UI" w:hAnsi="Segoe UI" w:cs="Segoe UI"/>
          <w:sz w:val="21"/>
          <w:szCs w:val="21"/>
        </w:rPr>
        <w:t>he r</w:t>
      </w:r>
      <w:r w:rsidRPr="31694319" w:rsidR="73B236B4">
        <w:rPr>
          <w:rFonts w:ascii="Segoe UI" w:hAnsi="Segoe UI" w:cs="Segoe UI"/>
          <w:sz w:val="21"/>
          <w:szCs w:val="21"/>
        </w:rPr>
        <w:t xml:space="preserve">ecord </w:t>
      </w:r>
      <w:r w:rsidRPr="31694319" w:rsidR="73B236B4">
        <w:rPr>
          <w:rFonts w:ascii="Segoe UI" w:hAnsi="Segoe UI" w:cs="Segoe UI"/>
          <w:sz w:val="21"/>
          <w:szCs w:val="21"/>
        </w:rPr>
        <w:t>established</w:t>
      </w:r>
      <w:r w:rsidRPr="31694319" w:rsidR="009C4092">
        <w:rPr>
          <w:rFonts w:ascii="Segoe UI" w:hAnsi="Segoe UI" w:cs="Segoe UI"/>
          <w:sz w:val="21"/>
          <w:szCs w:val="21"/>
        </w:rPr>
        <w:t xml:space="preserve"> that the Complainant placed </w:t>
      </w:r>
      <w:r w:rsidRPr="31694319" w:rsidR="3D3C0664">
        <w:rPr>
          <w:rFonts w:ascii="Segoe UI" w:hAnsi="Segoe UI" w:cs="Segoe UI"/>
          <w:sz w:val="21"/>
          <w:szCs w:val="21"/>
        </w:rPr>
        <w:t>several</w:t>
      </w:r>
      <w:r w:rsidRPr="31694319" w:rsidR="009C4092">
        <w:rPr>
          <w:rFonts w:ascii="Segoe UI" w:hAnsi="Segoe UI" w:cs="Segoe UI"/>
          <w:sz w:val="21"/>
          <w:szCs w:val="21"/>
        </w:rPr>
        <w:t xml:space="preserve"> calls to Ameren on the day of the incident (Tr. 26:18–25). Each attempt required navigating automated systems that delayed access to a live representative.</w:t>
      </w:r>
    </w:p>
    <w:p w:rsidR="009C4092" w:rsidP="009C4092" w:rsidRDefault="009C4092" w14:paraId="13B837A0" w14:textId="3AA186E5">
      <w:pPr>
        <w:pStyle w:val="NormalWeb"/>
        <w:spacing w:line="300" w:lineRule="atLeast"/>
        <w:rPr>
          <w:rFonts w:ascii="Segoe UI" w:hAnsi="Segoe UI" w:cs="Segoe UI"/>
          <w:sz w:val="21"/>
          <w:szCs w:val="21"/>
        </w:rPr>
      </w:pPr>
      <w:r w:rsidRPr="31694319" w:rsidR="009C4092">
        <w:rPr>
          <w:rFonts w:ascii="Segoe UI" w:hAnsi="Segoe UI" w:cs="Segoe UI"/>
          <w:sz w:val="21"/>
          <w:szCs w:val="21"/>
        </w:rPr>
        <w:t xml:space="preserve">Only when a licensed electrician used a non-public number did Ameren respond </w:t>
      </w:r>
      <w:r w:rsidRPr="31694319" w:rsidR="009C4092">
        <w:rPr>
          <w:rFonts w:ascii="Segoe UI" w:hAnsi="Segoe UI" w:cs="Segoe UI"/>
          <w:sz w:val="21"/>
          <w:szCs w:val="21"/>
        </w:rPr>
        <w:t>immediately</w:t>
      </w:r>
      <w:r w:rsidRPr="31694319" w:rsidR="009C4092">
        <w:rPr>
          <w:rFonts w:ascii="Segoe UI" w:hAnsi="Segoe UI" w:cs="Segoe UI"/>
          <w:sz w:val="21"/>
          <w:szCs w:val="21"/>
        </w:rPr>
        <w:t xml:space="preserve"> and dispatch personnel. By that time, the damage had already occurred</w:t>
      </w:r>
      <w:r w:rsidRPr="31694319" w:rsidR="009C4092">
        <w:rPr>
          <w:rFonts w:ascii="Segoe UI" w:hAnsi="Segoe UI" w:cs="Segoe UI"/>
          <w:sz w:val="21"/>
          <w:szCs w:val="21"/>
        </w:rPr>
        <w:t>.</w:t>
      </w:r>
    </w:p>
    <w:p w:rsidR="009C4092" w:rsidP="009C4092" w:rsidRDefault="009C4092" w14:paraId="1D3AB5A4" w14:textId="4E0EE89E">
      <w:pPr>
        <w:pStyle w:val="NormalWeb"/>
        <w:spacing w:line="300" w:lineRule="atLeast"/>
        <w:rPr>
          <w:rFonts w:ascii="Segoe UI" w:hAnsi="Segoe UI" w:cs="Segoe UI"/>
          <w:sz w:val="21"/>
          <w:szCs w:val="21"/>
        </w:rPr>
      </w:pPr>
      <w:r>
        <w:rPr>
          <w:rFonts w:ascii="Segoe UI" w:hAnsi="Segoe UI" w:cs="Segoe UI"/>
          <w:sz w:val="21"/>
          <w:szCs w:val="21"/>
        </w:rPr>
        <w:t>This disparity demonstrates that Ameren’s reporting system is not readily accessible to ordinary customers facing emergency conditions. Any delay in response is therefore attributable, at least in part, to Ameren’s own processes, not to any unreasonable conduct by the Complainant.</w:t>
      </w:r>
    </w:p>
    <w:p w:rsidR="009C4092" w:rsidP="009C4092" w:rsidRDefault="00E22A87" w14:paraId="7057171D" w14:textId="77777777">
      <w:pPr>
        <w:spacing w:line="300" w:lineRule="atLeast"/>
        <w:rPr>
          <w:rFonts w:ascii="Segoe UI" w:hAnsi="Segoe UI" w:cs="Segoe UI"/>
          <w:sz w:val="21"/>
          <w:szCs w:val="21"/>
        </w:rPr>
      </w:pPr>
      <w:r>
        <w:rPr>
          <w:rFonts w:ascii="Segoe UI" w:hAnsi="Segoe UI" w:cs="Segoe UI"/>
          <w:sz w:val="21"/>
          <w:szCs w:val="21"/>
        </w:rPr>
        <w:pict w14:anchorId="2EB0B32C">
          <v:rect id="_x0000_i1032" style="width:0;height:1.5pt" o:hr="t" o:hrstd="t" o:hralign="center" fillcolor="#a0a0a0" stroked="f"/>
        </w:pict>
      </w:r>
    </w:p>
    <w:p w:rsidR="009C4092" w:rsidP="009C4092" w:rsidRDefault="009C4092" w14:paraId="581E98C3" w14:textId="77777777">
      <w:pPr>
        <w:pStyle w:val="Heading2"/>
        <w:spacing w:line="300" w:lineRule="atLeast"/>
        <w:rPr>
          <w:rFonts w:ascii="Segoe UI" w:hAnsi="Segoe UI" w:cs="Segoe UI"/>
          <w:sz w:val="36"/>
          <w:szCs w:val="36"/>
        </w:rPr>
      </w:pPr>
      <w:r>
        <w:rPr>
          <w:rStyle w:val="Strong"/>
          <w:rFonts w:ascii="Segoe UI" w:hAnsi="Segoe UI" w:cs="Segoe UI"/>
          <w:b w:val="0"/>
          <w:bCs w:val="0"/>
        </w:rPr>
        <w:t>VI. AMEREN’S ARGUMENTS REGARDING SURGE PROTECTION ARE IRRELEVANT</w:t>
      </w:r>
    </w:p>
    <w:p w:rsidR="009C4092" w:rsidP="009C4092" w:rsidRDefault="009C4092" w14:paraId="28D759F7" w14:textId="77777777">
      <w:pPr>
        <w:pStyle w:val="NormalWeb"/>
        <w:spacing w:line="300" w:lineRule="atLeast"/>
        <w:rPr>
          <w:rFonts w:ascii="Segoe UI" w:hAnsi="Segoe UI" w:cs="Segoe UI"/>
          <w:sz w:val="21"/>
          <w:szCs w:val="21"/>
        </w:rPr>
      </w:pPr>
      <w:r>
        <w:rPr>
          <w:rFonts w:ascii="Segoe UI" w:hAnsi="Segoe UI" w:cs="Segoe UI"/>
          <w:sz w:val="21"/>
          <w:szCs w:val="21"/>
        </w:rPr>
        <w:t>Ameren’s reference to the Complainant’s surge protector is immaterial.</w:t>
      </w:r>
    </w:p>
    <w:p w:rsidR="009C4092" w:rsidP="009C4092" w:rsidRDefault="009C4092" w14:paraId="68A32C80" w14:textId="5B0D71A8">
      <w:pPr>
        <w:pStyle w:val="NormalWeb"/>
        <w:spacing w:line="300" w:lineRule="atLeast"/>
        <w:rPr>
          <w:rFonts w:ascii="Segoe UI" w:hAnsi="Segoe UI" w:cs="Segoe UI"/>
          <w:sz w:val="21"/>
          <w:szCs w:val="21"/>
        </w:rPr>
      </w:pPr>
      <w:r w:rsidRPr="31694319" w:rsidR="009C4092">
        <w:rPr>
          <w:rFonts w:ascii="Segoe UI" w:hAnsi="Segoe UI" w:cs="Segoe UI"/>
          <w:sz w:val="21"/>
          <w:szCs w:val="21"/>
        </w:rPr>
        <w:t xml:space="preserve">Ameren’s own witness conceded that such devices are neither foolproof nor commonly used. (Tr. 233:8–16). The presence or absence of a surge protector does not relieve Ameren of its independent obligation to </w:t>
      </w:r>
      <w:r w:rsidRPr="31694319" w:rsidR="009C4092">
        <w:rPr>
          <w:rFonts w:ascii="Segoe UI" w:hAnsi="Segoe UI" w:cs="Segoe UI"/>
          <w:sz w:val="21"/>
          <w:szCs w:val="21"/>
        </w:rPr>
        <w:t>maintain</w:t>
      </w:r>
      <w:r w:rsidRPr="31694319" w:rsidR="009C4092">
        <w:rPr>
          <w:rFonts w:ascii="Segoe UI" w:hAnsi="Segoe UI" w:cs="Segoe UI"/>
          <w:sz w:val="21"/>
          <w:szCs w:val="21"/>
        </w:rPr>
        <w:t xml:space="preserve"> its system</w:t>
      </w:r>
      <w:r w:rsidRPr="31694319" w:rsidR="5B41DE03">
        <w:rPr>
          <w:rFonts w:ascii="Segoe UI" w:hAnsi="Segoe UI" w:cs="Segoe UI"/>
          <w:sz w:val="21"/>
          <w:szCs w:val="21"/>
        </w:rPr>
        <w:t xml:space="preserve"> safely</w:t>
      </w:r>
      <w:r w:rsidRPr="31694319" w:rsidR="009C4092">
        <w:rPr>
          <w:rFonts w:ascii="Segoe UI" w:hAnsi="Segoe UI" w:cs="Segoe UI"/>
          <w:sz w:val="21"/>
          <w:szCs w:val="21"/>
        </w:rPr>
        <w:t>.</w:t>
      </w:r>
    </w:p>
    <w:p w:rsidR="009C4092" w:rsidP="009C4092" w:rsidRDefault="009C4092" w14:paraId="56EF072F" w14:textId="498569D2">
      <w:pPr>
        <w:pStyle w:val="NormalWeb"/>
        <w:spacing w:line="300" w:lineRule="atLeast"/>
        <w:rPr>
          <w:rFonts w:ascii="Segoe UI" w:hAnsi="Segoe UI" w:cs="Segoe UI"/>
          <w:sz w:val="21"/>
          <w:szCs w:val="21"/>
        </w:rPr>
      </w:pPr>
      <w:r w:rsidRPr="31694319" w:rsidR="009C4092">
        <w:rPr>
          <w:rFonts w:ascii="Segoe UI" w:hAnsi="Segoe UI" w:cs="Segoe UI"/>
          <w:sz w:val="21"/>
          <w:szCs w:val="21"/>
        </w:rPr>
        <w:t xml:space="preserve">Moreover, testimony </w:t>
      </w:r>
      <w:r w:rsidRPr="31694319" w:rsidR="009C4092">
        <w:rPr>
          <w:rFonts w:ascii="Segoe UI" w:hAnsi="Segoe UI" w:cs="Segoe UI"/>
          <w:sz w:val="21"/>
          <w:szCs w:val="21"/>
        </w:rPr>
        <w:t>indicated</w:t>
      </w:r>
      <w:r w:rsidRPr="31694319" w:rsidR="009C4092">
        <w:rPr>
          <w:rFonts w:ascii="Segoe UI" w:hAnsi="Segoe UI" w:cs="Segoe UI"/>
          <w:sz w:val="21"/>
          <w:szCs w:val="21"/>
        </w:rPr>
        <w:t xml:space="preserve"> that even Ameren employees</w:t>
      </w:r>
      <w:r w:rsidRPr="31694319" w:rsidR="1A575959">
        <w:rPr>
          <w:rFonts w:ascii="Segoe UI" w:hAnsi="Segoe UI" w:cs="Segoe UI"/>
          <w:sz w:val="21"/>
          <w:szCs w:val="21"/>
        </w:rPr>
        <w:t xml:space="preserve"> at the Hearing </w:t>
      </w:r>
      <w:r w:rsidRPr="31694319" w:rsidR="009C4092">
        <w:rPr>
          <w:rFonts w:ascii="Segoe UI" w:hAnsi="Segoe UI" w:cs="Segoe UI"/>
          <w:sz w:val="21"/>
          <w:szCs w:val="21"/>
        </w:rPr>
        <w:t xml:space="preserve">do not consistently </w:t>
      </w:r>
      <w:r w:rsidRPr="31694319" w:rsidR="009C4092">
        <w:rPr>
          <w:rFonts w:ascii="Segoe UI" w:hAnsi="Segoe UI" w:cs="Segoe UI"/>
          <w:sz w:val="21"/>
          <w:szCs w:val="21"/>
        </w:rPr>
        <w:t>utilize</w:t>
      </w:r>
      <w:r w:rsidRPr="31694319" w:rsidR="009C4092">
        <w:rPr>
          <w:rFonts w:ascii="Segoe UI" w:hAnsi="Segoe UI" w:cs="Segoe UI"/>
          <w:sz w:val="21"/>
          <w:szCs w:val="21"/>
        </w:rPr>
        <w:t xml:space="preserve"> such devices</w:t>
      </w:r>
      <w:r w:rsidRPr="31694319" w:rsidR="68341A0E">
        <w:rPr>
          <w:rFonts w:ascii="Segoe UI" w:hAnsi="Segoe UI" w:cs="Segoe UI"/>
          <w:sz w:val="21"/>
          <w:szCs w:val="21"/>
        </w:rPr>
        <w:t xml:space="preserve"> (Tr</w:t>
      </w:r>
      <w:r w:rsidRPr="31694319" w:rsidR="009C4092">
        <w:rPr>
          <w:rFonts w:ascii="Segoe UI" w:hAnsi="Segoe UI" w:cs="Segoe UI"/>
          <w:sz w:val="21"/>
          <w:szCs w:val="21"/>
        </w:rPr>
        <w:t xml:space="preserve">. </w:t>
      </w:r>
      <w:r w:rsidRPr="31694319" w:rsidR="48B1DAE6">
        <w:rPr>
          <w:rFonts w:ascii="Segoe UI" w:hAnsi="Segoe UI" w:cs="Segoe UI"/>
          <w:sz w:val="21"/>
          <w:szCs w:val="21"/>
        </w:rPr>
        <w:t xml:space="preserve">236: 18-20). </w:t>
      </w:r>
      <w:r w:rsidRPr="31694319" w:rsidR="009C4092">
        <w:rPr>
          <w:rFonts w:ascii="Segoe UI" w:hAnsi="Segoe UI" w:cs="Segoe UI"/>
          <w:sz w:val="21"/>
          <w:szCs w:val="21"/>
        </w:rPr>
        <w:t xml:space="preserve">This further </w:t>
      </w:r>
      <w:r w:rsidRPr="31694319" w:rsidR="009C4092">
        <w:rPr>
          <w:rFonts w:ascii="Segoe UI" w:hAnsi="Segoe UI" w:cs="Segoe UI"/>
          <w:sz w:val="21"/>
          <w:szCs w:val="21"/>
        </w:rPr>
        <w:t>demonstrates</w:t>
      </w:r>
      <w:r w:rsidRPr="31694319" w:rsidR="009C4092">
        <w:rPr>
          <w:rFonts w:ascii="Segoe UI" w:hAnsi="Segoe UI" w:cs="Segoe UI"/>
          <w:sz w:val="21"/>
          <w:szCs w:val="21"/>
        </w:rPr>
        <w:t xml:space="preserve"> that the argument has no bearing on liability.</w:t>
      </w:r>
    </w:p>
    <w:p w:rsidR="009C4092" w:rsidP="009C4092" w:rsidRDefault="00E22A87" w14:paraId="2AF38A5D" w14:textId="77777777">
      <w:pPr>
        <w:spacing w:line="300" w:lineRule="atLeast"/>
        <w:rPr>
          <w:rFonts w:ascii="Segoe UI" w:hAnsi="Segoe UI" w:cs="Segoe UI"/>
          <w:sz w:val="21"/>
          <w:szCs w:val="21"/>
        </w:rPr>
      </w:pPr>
      <w:r>
        <w:rPr>
          <w:rFonts w:ascii="Segoe UI" w:hAnsi="Segoe UI" w:cs="Segoe UI"/>
          <w:sz w:val="21"/>
          <w:szCs w:val="21"/>
        </w:rPr>
        <w:pict w14:anchorId="4BD67141">
          <v:rect id="_x0000_i1033" style="width:0;height:1.5pt" o:hr="t" o:hrstd="t" o:hralign="center" fillcolor="#a0a0a0" stroked="f"/>
        </w:pict>
      </w:r>
    </w:p>
    <w:p w:rsidR="009C4092" w:rsidP="009C4092" w:rsidRDefault="009C4092" w14:paraId="5C0FE807" w14:textId="77777777">
      <w:pPr>
        <w:pStyle w:val="Heading2"/>
        <w:spacing w:line="300" w:lineRule="atLeast"/>
        <w:rPr>
          <w:rFonts w:ascii="Segoe UI" w:hAnsi="Segoe UI" w:cs="Segoe UI"/>
          <w:sz w:val="36"/>
          <w:szCs w:val="36"/>
        </w:rPr>
      </w:pPr>
      <w:r>
        <w:rPr>
          <w:rStyle w:val="Strong"/>
          <w:rFonts w:ascii="Segoe UI" w:hAnsi="Segoe UI" w:cs="Segoe UI"/>
          <w:b w:val="0"/>
          <w:bCs w:val="0"/>
        </w:rPr>
        <w:t>VII. THE COMMISSION HAS AUTHORITY TO GRANT RELIEF</w:t>
      </w:r>
    </w:p>
    <w:p w:rsidR="009C4092" w:rsidP="009C4092" w:rsidRDefault="009C4092" w14:paraId="69453101" w14:textId="6B1BFE8E">
      <w:pPr>
        <w:pStyle w:val="NormalWeb"/>
        <w:spacing w:line="300" w:lineRule="atLeast"/>
        <w:rPr>
          <w:rFonts w:ascii="Segoe UI" w:hAnsi="Segoe UI" w:cs="Segoe UI"/>
          <w:sz w:val="21"/>
          <w:szCs w:val="21"/>
        </w:rPr>
      </w:pPr>
      <w:r w:rsidRPr="31694319" w:rsidR="009C4092">
        <w:rPr>
          <w:rFonts w:ascii="Segoe UI" w:hAnsi="Segoe UI" w:cs="Segoe UI"/>
          <w:sz w:val="21"/>
          <w:szCs w:val="21"/>
        </w:rPr>
        <w:t>Ameren’s assertion that no relief may be granted is contrary to Missouri law.</w:t>
      </w:r>
      <w:r w:rsidRPr="31694319" w:rsidR="463972E3">
        <w:rPr>
          <w:rFonts w:ascii="Segoe UI" w:hAnsi="Segoe UI" w:cs="Segoe UI"/>
          <w:sz w:val="21"/>
          <w:szCs w:val="21"/>
        </w:rPr>
        <w:t xml:space="preserve"> </w:t>
      </w:r>
    </w:p>
    <w:p w:rsidR="009C4092" w:rsidP="009C4092" w:rsidRDefault="009C4092" w14:paraId="1E75D2C0" w14:textId="77777777">
      <w:pPr>
        <w:pStyle w:val="NormalWeb"/>
        <w:spacing w:line="300" w:lineRule="atLeast"/>
        <w:rPr>
          <w:rFonts w:ascii="Segoe UI" w:hAnsi="Segoe UI" w:cs="Segoe UI"/>
          <w:sz w:val="21"/>
          <w:szCs w:val="21"/>
        </w:rPr>
      </w:pPr>
      <w:r>
        <w:rPr>
          <w:rFonts w:ascii="Segoe UI" w:hAnsi="Segoe UI" w:cs="Segoe UI"/>
          <w:sz w:val="21"/>
          <w:szCs w:val="21"/>
        </w:rPr>
        <w:t xml:space="preserve">Section 393.130, </w:t>
      </w:r>
      <w:proofErr w:type="spellStart"/>
      <w:r>
        <w:rPr>
          <w:rFonts w:ascii="Segoe UI" w:hAnsi="Segoe UI" w:cs="Segoe UI"/>
          <w:sz w:val="21"/>
          <w:szCs w:val="21"/>
        </w:rPr>
        <w:t>RSMo</w:t>
      </w:r>
      <w:proofErr w:type="spellEnd"/>
      <w:r>
        <w:rPr>
          <w:rFonts w:ascii="Segoe UI" w:hAnsi="Segoe UI" w:cs="Segoe UI"/>
          <w:sz w:val="21"/>
          <w:szCs w:val="21"/>
        </w:rPr>
        <w:t xml:space="preserve"> requires utilities to furnish service and facilities that are “safe and adequate and in all respects just and reasonable.” This is a continuing obligation, and failure to maintain infrastructure capable of safely delivering electricity constitutes a violation. </w:t>
      </w:r>
      <w:hyperlink w:history="1" r:id="rId7">
        <w:r>
          <w:rPr>
            <w:rStyle w:val="Hyperlink"/>
            <w:rFonts w:ascii="Segoe UI" w:hAnsi="Segoe UI" w:cs="Segoe UI"/>
            <w:sz w:val="21"/>
            <w:szCs w:val="21"/>
          </w:rPr>
          <w:t>[law.justia.com]</w:t>
        </w:r>
      </w:hyperlink>
    </w:p>
    <w:p w:rsidR="009C4092" w:rsidP="009C4092" w:rsidRDefault="009C4092" w14:paraId="2922CBFE" w14:textId="77777777">
      <w:pPr>
        <w:pStyle w:val="NormalWeb"/>
        <w:spacing w:line="300" w:lineRule="atLeast"/>
        <w:rPr>
          <w:rFonts w:ascii="Segoe UI" w:hAnsi="Segoe UI" w:cs="Segoe UI"/>
          <w:sz w:val="21"/>
          <w:szCs w:val="21"/>
        </w:rPr>
      </w:pPr>
      <w:r>
        <w:rPr>
          <w:rFonts w:ascii="Segoe UI" w:hAnsi="Segoe UI" w:cs="Segoe UI"/>
          <w:sz w:val="21"/>
          <w:szCs w:val="21"/>
        </w:rPr>
        <w:t>Commission rules further provide that any act or omission in violation of a statute, tariff, or order is subject to complaint and remedy. 20 CSR 4240</w:t>
      </w:r>
      <w:r>
        <w:rPr>
          <w:rFonts w:ascii="Segoe UI" w:hAnsi="Segoe UI" w:cs="Segoe UI"/>
          <w:sz w:val="21"/>
          <w:szCs w:val="21"/>
        </w:rPr>
        <w:noBreakHyphen/>
      </w:r>
      <w:r>
        <w:rPr>
          <w:rFonts w:ascii="Segoe UI" w:hAnsi="Segoe UI" w:cs="Segoe UI"/>
          <w:sz w:val="21"/>
          <w:szCs w:val="21"/>
        </w:rPr>
        <w:t xml:space="preserve">2.070. </w:t>
      </w:r>
      <w:hyperlink w:history="1" r:id="rId8">
        <w:r>
          <w:rPr>
            <w:rStyle w:val="Hyperlink"/>
            <w:rFonts w:ascii="Segoe UI" w:hAnsi="Segoe UI" w:cs="Segoe UI"/>
            <w:sz w:val="21"/>
            <w:szCs w:val="21"/>
          </w:rPr>
          <w:t>[law.cornell.edu]</w:t>
        </w:r>
      </w:hyperlink>
    </w:p>
    <w:p w:rsidR="009C4092" w:rsidP="009C4092" w:rsidRDefault="009C4092" w14:paraId="36F8AA9D" w14:textId="77777777">
      <w:pPr>
        <w:pStyle w:val="NormalWeb"/>
        <w:spacing w:line="300" w:lineRule="atLeast"/>
        <w:rPr>
          <w:rFonts w:ascii="Segoe UI" w:hAnsi="Segoe UI" w:cs="Segoe UI"/>
          <w:sz w:val="21"/>
          <w:szCs w:val="21"/>
        </w:rPr>
      </w:pPr>
      <w:r>
        <w:rPr>
          <w:rFonts w:ascii="Segoe UI" w:hAnsi="Segoe UI" w:cs="Segoe UI"/>
          <w:sz w:val="21"/>
          <w:szCs w:val="21"/>
        </w:rPr>
        <w:t xml:space="preserve">Additionally, Section 386.570, </w:t>
      </w:r>
      <w:proofErr w:type="spellStart"/>
      <w:r>
        <w:rPr>
          <w:rFonts w:ascii="Segoe UI" w:hAnsi="Segoe UI" w:cs="Segoe UI"/>
          <w:sz w:val="21"/>
          <w:szCs w:val="21"/>
        </w:rPr>
        <w:t>RSMo</w:t>
      </w:r>
      <w:proofErr w:type="spellEnd"/>
      <w:r>
        <w:rPr>
          <w:rFonts w:ascii="Segoe UI" w:hAnsi="Segoe UI" w:cs="Segoe UI"/>
          <w:sz w:val="21"/>
          <w:szCs w:val="21"/>
        </w:rPr>
        <w:t xml:space="preserve"> authorizes penalties where a utility “fails, omits or neglects” to comply with legal requirements, with each violation constituting a separate offense. </w:t>
      </w:r>
      <w:hyperlink w:history="1" r:id="rId9">
        <w:r>
          <w:rPr>
            <w:rStyle w:val="Hyperlink"/>
            <w:rFonts w:ascii="Segoe UI" w:hAnsi="Segoe UI" w:cs="Segoe UI"/>
            <w:sz w:val="21"/>
            <w:szCs w:val="21"/>
          </w:rPr>
          <w:t>[revisor.mo.gov]</w:t>
        </w:r>
      </w:hyperlink>
    </w:p>
    <w:p w:rsidR="009C4092" w:rsidP="009C4092" w:rsidRDefault="009C4092" w14:paraId="7CB60C9E" w14:textId="77777777">
      <w:pPr>
        <w:pStyle w:val="NormalWeb"/>
        <w:spacing w:line="300" w:lineRule="atLeast"/>
        <w:rPr>
          <w:rFonts w:ascii="Segoe UI" w:hAnsi="Segoe UI" w:cs="Segoe UI"/>
          <w:sz w:val="21"/>
          <w:szCs w:val="21"/>
        </w:rPr>
      </w:pPr>
      <w:r>
        <w:rPr>
          <w:rFonts w:ascii="Segoe UI" w:hAnsi="Segoe UI" w:cs="Segoe UI"/>
          <w:sz w:val="21"/>
          <w:szCs w:val="21"/>
        </w:rPr>
        <w:t xml:space="preserve">Missouri precedent confirms that the Commission may impose consequences where a utility has acted imprudently and caused harm to ratepayers. See </w:t>
      </w:r>
      <w:r>
        <w:rPr>
          <w:rStyle w:val="Emphasis"/>
          <w:rFonts w:ascii="Segoe UI" w:hAnsi="Segoe UI" w:cs="Segoe UI"/>
          <w:sz w:val="21"/>
          <w:szCs w:val="21"/>
        </w:rPr>
        <w:t>State ex rel. Union Electric Co. v. PSC</w:t>
      </w:r>
      <w:r>
        <w:rPr>
          <w:rFonts w:ascii="Segoe UI" w:hAnsi="Segoe UI" w:cs="Segoe UI"/>
          <w:sz w:val="21"/>
          <w:szCs w:val="21"/>
        </w:rPr>
        <w:t>, 422 S.W.3d 358 (Mo. App. W.D. 2013) (upholding Commission authority to order relief based on imprudent utility conduct harming customers).</w:t>
      </w:r>
    </w:p>
    <w:p w:rsidR="009C4092" w:rsidP="009C4092" w:rsidRDefault="009C4092" w14:paraId="6F0F0374" w14:textId="77777777">
      <w:pPr>
        <w:pStyle w:val="NormalWeb"/>
        <w:spacing w:line="300" w:lineRule="atLeast"/>
        <w:rPr>
          <w:rFonts w:ascii="Segoe UI" w:hAnsi="Segoe UI" w:cs="Segoe UI"/>
          <w:sz w:val="21"/>
          <w:szCs w:val="21"/>
        </w:rPr>
      </w:pPr>
      <w:r>
        <w:rPr>
          <w:rFonts w:ascii="Segoe UI" w:hAnsi="Segoe UI" w:cs="Segoe UI"/>
          <w:sz w:val="21"/>
          <w:szCs w:val="21"/>
        </w:rPr>
        <w:t>Where, as here, Ameren has failed to provide adequate inspection, failed to substantiate its causation theory, and failed to ensure accessible and timely response mechanisms, the Commission has both the authority and obligation to act.</w:t>
      </w:r>
    </w:p>
    <w:p w:rsidR="009C4092" w:rsidP="009C4092" w:rsidRDefault="00E22A87" w14:paraId="2E04754C" w14:textId="77777777">
      <w:pPr>
        <w:spacing w:line="300" w:lineRule="atLeast"/>
        <w:rPr>
          <w:rFonts w:ascii="Segoe UI" w:hAnsi="Segoe UI" w:cs="Segoe UI"/>
          <w:sz w:val="21"/>
          <w:szCs w:val="21"/>
        </w:rPr>
      </w:pPr>
      <w:r>
        <w:rPr>
          <w:rFonts w:ascii="Segoe UI" w:hAnsi="Segoe UI" w:cs="Segoe UI"/>
          <w:sz w:val="21"/>
          <w:szCs w:val="21"/>
        </w:rPr>
        <w:pict w14:anchorId="7CC3B562">
          <v:rect id="_x0000_i1034" style="width:0;height:1.5pt" o:hr="t" o:hrstd="t" o:hralign="center" fillcolor="#a0a0a0" stroked="f"/>
        </w:pict>
      </w:r>
    </w:p>
    <w:p w:rsidR="009C4092" w:rsidP="009C4092" w:rsidRDefault="009C4092" w14:paraId="7C14BDB2" w14:textId="77777777">
      <w:pPr>
        <w:pStyle w:val="Heading2"/>
        <w:spacing w:line="300" w:lineRule="atLeast"/>
        <w:rPr>
          <w:rFonts w:ascii="Segoe UI" w:hAnsi="Segoe UI" w:cs="Segoe UI"/>
          <w:sz w:val="36"/>
          <w:szCs w:val="36"/>
        </w:rPr>
      </w:pPr>
      <w:r>
        <w:rPr>
          <w:rStyle w:val="Strong"/>
          <w:rFonts w:ascii="Segoe UI" w:hAnsi="Segoe UI" w:cs="Segoe UI"/>
          <w:b w:val="0"/>
          <w:bCs w:val="0"/>
        </w:rPr>
        <w:t>VIII. CONCLUSION</w:t>
      </w:r>
    </w:p>
    <w:p w:rsidR="009C4092" w:rsidP="009C4092" w:rsidRDefault="009C4092" w14:paraId="42BE54BE" w14:textId="77777777">
      <w:pPr>
        <w:pStyle w:val="NormalWeb"/>
        <w:spacing w:line="300" w:lineRule="atLeast"/>
        <w:rPr>
          <w:rFonts w:ascii="Segoe UI" w:hAnsi="Segoe UI" w:cs="Segoe UI"/>
          <w:sz w:val="21"/>
          <w:szCs w:val="21"/>
        </w:rPr>
      </w:pPr>
      <w:r>
        <w:rPr>
          <w:rFonts w:ascii="Segoe UI" w:hAnsi="Segoe UI" w:cs="Segoe UI"/>
          <w:sz w:val="21"/>
          <w:szCs w:val="21"/>
        </w:rPr>
        <w:t>Ameren has failed to meet its burden of demonstrating compliance with its statutory and tariff obligations or that the incident resulted from an unavoidable external cause. Its reliance on incomplete inspections, speculative testimony, and procedural defenses is insufficient.</w:t>
      </w:r>
    </w:p>
    <w:p w:rsidR="009C4092" w:rsidP="009C4092" w:rsidRDefault="009C4092" w14:paraId="1AC5D943" w14:textId="77777777">
      <w:pPr>
        <w:pStyle w:val="NormalWeb"/>
        <w:spacing w:line="300" w:lineRule="atLeast"/>
        <w:rPr>
          <w:rFonts w:ascii="Segoe UI" w:hAnsi="Segoe UI" w:cs="Segoe UI"/>
          <w:sz w:val="21"/>
          <w:szCs w:val="21"/>
        </w:rPr>
      </w:pPr>
      <w:r>
        <w:rPr>
          <w:rFonts w:ascii="Segoe UI" w:hAnsi="Segoe UI" w:cs="Segoe UI"/>
          <w:sz w:val="21"/>
          <w:szCs w:val="21"/>
        </w:rPr>
        <w:t>The Complainant acted reasonably under the circumstances and should not bear the consequences of Ameren’s inadequate maintenance and response systems.</w:t>
      </w:r>
    </w:p>
    <w:p w:rsidR="009C4092" w:rsidP="009C4092" w:rsidRDefault="009C4092" w14:paraId="332CA9D2" w14:textId="77777777">
      <w:pPr>
        <w:pStyle w:val="NormalWeb"/>
        <w:spacing w:line="300" w:lineRule="atLeast"/>
        <w:rPr>
          <w:rFonts w:ascii="Segoe UI" w:hAnsi="Segoe UI" w:cs="Segoe UI"/>
          <w:sz w:val="21"/>
          <w:szCs w:val="21"/>
        </w:rPr>
      </w:pPr>
      <w:r>
        <w:rPr>
          <w:rFonts w:ascii="Segoe UI" w:hAnsi="Segoe UI" w:cs="Segoe UI"/>
          <w:sz w:val="21"/>
          <w:szCs w:val="21"/>
        </w:rPr>
        <w:t xml:space="preserve">WHEREFORE, Complainant respectfully requests that the Commission reject Ameren’s defenses and grant such relief as is authorized under Missouri law, including Section 386.570, </w:t>
      </w:r>
      <w:proofErr w:type="spellStart"/>
      <w:r>
        <w:rPr>
          <w:rFonts w:ascii="Segoe UI" w:hAnsi="Segoe UI" w:cs="Segoe UI"/>
          <w:sz w:val="21"/>
          <w:szCs w:val="21"/>
        </w:rPr>
        <w:t>RSMo</w:t>
      </w:r>
      <w:proofErr w:type="spellEnd"/>
      <w:r>
        <w:rPr>
          <w:rFonts w:ascii="Segoe UI" w:hAnsi="Segoe UI" w:cs="Segoe UI"/>
          <w:sz w:val="21"/>
          <w:szCs w:val="21"/>
        </w:rPr>
        <w:t>, and as the Commission deems just and proper.</w:t>
      </w:r>
    </w:p>
    <w:p w:rsidR="009C4092" w:rsidP="009C4092" w:rsidRDefault="00E22A87" w14:paraId="537BA5E5" w14:textId="77777777">
      <w:pPr>
        <w:spacing w:line="300" w:lineRule="atLeast"/>
        <w:rPr>
          <w:rFonts w:ascii="Segoe UI" w:hAnsi="Segoe UI" w:cs="Segoe UI"/>
          <w:sz w:val="21"/>
          <w:szCs w:val="21"/>
        </w:rPr>
      </w:pPr>
      <w:r>
        <w:rPr>
          <w:rFonts w:ascii="Segoe UI" w:hAnsi="Segoe UI" w:cs="Segoe UI"/>
          <w:sz w:val="21"/>
          <w:szCs w:val="21"/>
        </w:rPr>
        <w:pict w14:anchorId="7B126A95">
          <v:rect id="_x0000_i1035" style="width:0;height:1.5pt" o:hr="t" o:hrstd="t" o:hralign="center" fillcolor="#a0a0a0" stroked="f"/>
        </w:pict>
      </w:r>
    </w:p>
    <w:p w:rsidR="009C4092" w:rsidP="009C4092" w:rsidRDefault="009C4092" w14:paraId="49981C68" w14:textId="77777777">
      <w:pPr>
        <w:pStyle w:val="Heading2"/>
        <w:spacing w:line="300" w:lineRule="atLeast"/>
        <w:rPr>
          <w:rFonts w:ascii="Segoe UI" w:hAnsi="Segoe UI" w:cs="Segoe UI"/>
          <w:sz w:val="36"/>
          <w:szCs w:val="36"/>
        </w:rPr>
      </w:pPr>
      <w:r>
        <w:rPr>
          <w:rStyle w:val="Strong"/>
          <w:rFonts w:ascii="Segoe UI" w:hAnsi="Segoe UI" w:cs="Segoe UI"/>
          <w:b w:val="0"/>
          <w:bCs w:val="0"/>
        </w:rPr>
        <w:t>Respectfully submitted,</w:t>
      </w:r>
    </w:p>
    <w:p w:rsidR="009C4092" w:rsidP="009C4092" w:rsidRDefault="009C4092" w14:paraId="6B868FEE" w14:textId="77777777">
      <w:pPr>
        <w:pStyle w:val="NormalWeb"/>
        <w:spacing w:line="300" w:lineRule="atLeast"/>
        <w:rPr>
          <w:rFonts w:ascii="Segoe UI" w:hAnsi="Segoe UI" w:cs="Segoe UI"/>
          <w:sz w:val="21"/>
          <w:szCs w:val="21"/>
        </w:rPr>
      </w:pPr>
      <w:r>
        <w:rPr>
          <w:rFonts w:ascii="Segoe UI" w:hAnsi="Segoe UI" w:cs="Segoe UI"/>
          <w:sz w:val="21"/>
          <w:szCs w:val="21"/>
        </w:rPr>
        <w:t>Timothy Boyle</w:t>
      </w:r>
      <w:r>
        <w:rPr>
          <w:rFonts w:ascii="Segoe UI" w:hAnsi="Segoe UI" w:cs="Segoe UI"/>
          <w:sz w:val="21"/>
          <w:szCs w:val="21"/>
        </w:rPr>
        <w:br/>
      </w:r>
      <w:r>
        <w:rPr>
          <w:rFonts w:ascii="Segoe UI" w:hAnsi="Segoe UI" w:cs="Segoe UI"/>
          <w:sz w:val="21"/>
          <w:szCs w:val="21"/>
        </w:rPr>
        <w:t>Complainant</w:t>
      </w:r>
    </w:p>
    <w:p w:rsidR="009C4092" w:rsidP="009C4092" w:rsidRDefault="00E22A87" w14:paraId="244C889C" w14:textId="77777777">
      <w:pPr>
        <w:spacing w:line="300" w:lineRule="atLeast"/>
        <w:rPr>
          <w:rFonts w:ascii="Segoe UI" w:hAnsi="Segoe UI" w:cs="Segoe UI"/>
          <w:sz w:val="21"/>
          <w:szCs w:val="21"/>
        </w:rPr>
      </w:pPr>
      <w:r>
        <w:rPr>
          <w:rFonts w:ascii="Segoe UI" w:hAnsi="Segoe UI" w:cs="Segoe UI"/>
          <w:sz w:val="21"/>
          <w:szCs w:val="21"/>
        </w:rPr>
        <w:pict w14:anchorId="0C8FCB3F">
          <v:rect id="_x0000_i1036" style="width:0;height:1.5pt" o:hr="t" o:hrstd="t" o:hralign="center" fillcolor="#a0a0a0" stroked="f"/>
        </w:pict>
      </w:r>
    </w:p>
    <w:p w:rsidR="006708AF" w:rsidP="005D77C4" w:rsidRDefault="006708AF" w14:paraId="45998505" w14:textId="52280EC9"/>
    <w:sectPr w:rsidR="006708A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C4"/>
    <w:rsid w:val="00247ADD"/>
    <w:rsid w:val="003B24D5"/>
    <w:rsid w:val="005D77C4"/>
    <w:rsid w:val="006708AF"/>
    <w:rsid w:val="00686948"/>
    <w:rsid w:val="006F32FD"/>
    <w:rsid w:val="009C4092"/>
    <w:rsid w:val="00A2393E"/>
    <w:rsid w:val="00BE625C"/>
    <w:rsid w:val="00DC3A66"/>
    <w:rsid w:val="00DF0694"/>
    <w:rsid w:val="00E22A87"/>
    <w:rsid w:val="00F2515C"/>
    <w:rsid w:val="070EB545"/>
    <w:rsid w:val="0F0CBE03"/>
    <w:rsid w:val="1016590D"/>
    <w:rsid w:val="111E9A89"/>
    <w:rsid w:val="1165536B"/>
    <w:rsid w:val="19589025"/>
    <w:rsid w:val="1A3BB103"/>
    <w:rsid w:val="1A575959"/>
    <w:rsid w:val="1C7C6BD2"/>
    <w:rsid w:val="1C7D7DD4"/>
    <w:rsid w:val="23E7ED27"/>
    <w:rsid w:val="240B4478"/>
    <w:rsid w:val="25D9E180"/>
    <w:rsid w:val="271EFC98"/>
    <w:rsid w:val="27EA24BA"/>
    <w:rsid w:val="284E39CC"/>
    <w:rsid w:val="28D8C484"/>
    <w:rsid w:val="2F054665"/>
    <w:rsid w:val="2F788EBA"/>
    <w:rsid w:val="31694319"/>
    <w:rsid w:val="32955CFE"/>
    <w:rsid w:val="39693702"/>
    <w:rsid w:val="3D3C0664"/>
    <w:rsid w:val="3D624156"/>
    <w:rsid w:val="403387ED"/>
    <w:rsid w:val="415110D8"/>
    <w:rsid w:val="43E42BB8"/>
    <w:rsid w:val="44A23378"/>
    <w:rsid w:val="4572FA03"/>
    <w:rsid w:val="463972E3"/>
    <w:rsid w:val="47D8170B"/>
    <w:rsid w:val="48B1DAE6"/>
    <w:rsid w:val="49345F36"/>
    <w:rsid w:val="49E7EA76"/>
    <w:rsid w:val="4AC0D936"/>
    <w:rsid w:val="4F1BB031"/>
    <w:rsid w:val="588634A3"/>
    <w:rsid w:val="5AA0C546"/>
    <w:rsid w:val="5AEBFC2B"/>
    <w:rsid w:val="5B41DE03"/>
    <w:rsid w:val="5E4052CA"/>
    <w:rsid w:val="5F239EC3"/>
    <w:rsid w:val="5F87E8F9"/>
    <w:rsid w:val="611F6386"/>
    <w:rsid w:val="6168EFB8"/>
    <w:rsid w:val="622722F3"/>
    <w:rsid w:val="63CEC2E5"/>
    <w:rsid w:val="64E12A80"/>
    <w:rsid w:val="66E3EB4C"/>
    <w:rsid w:val="681AE606"/>
    <w:rsid w:val="68341A0E"/>
    <w:rsid w:val="6BC0D64E"/>
    <w:rsid w:val="6C1B4B52"/>
    <w:rsid w:val="6E74CE11"/>
    <w:rsid w:val="71689F2F"/>
    <w:rsid w:val="71DD6CBB"/>
    <w:rsid w:val="73B236B4"/>
    <w:rsid w:val="76BBA352"/>
    <w:rsid w:val="78F6884C"/>
    <w:rsid w:val="7BE812A9"/>
    <w:rsid w:val="7D0E48F6"/>
    <w:rsid w:val="7D9CD1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BDFC"/>
  <w15:chartTrackingRefBased/>
  <w15:docId w15:val="{85D0806C-CE56-4E3F-811C-34BD62F158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D77C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77C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77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7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D77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D7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7C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D77C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5D77C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5D77C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D77C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5D77C4"/>
    <w:rPr>
      <w:rFonts w:eastAsiaTheme="majorEastAsia" w:cstheme="majorBidi"/>
      <w:color w:val="0F4761" w:themeColor="accent1" w:themeShade="BF"/>
    </w:rPr>
  </w:style>
  <w:style w:type="character" w:styleId="Heading6Char" w:customStyle="1">
    <w:name w:val="Heading 6 Char"/>
    <w:basedOn w:val="DefaultParagraphFont"/>
    <w:link w:val="Heading6"/>
    <w:uiPriority w:val="9"/>
    <w:rsid w:val="005D77C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D77C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D77C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D77C4"/>
    <w:rPr>
      <w:rFonts w:eastAsiaTheme="majorEastAsia" w:cstheme="majorBidi"/>
      <w:color w:val="272727" w:themeColor="text1" w:themeTint="D8"/>
    </w:rPr>
  </w:style>
  <w:style w:type="paragraph" w:styleId="Title">
    <w:name w:val="Title"/>
    <w:basedOn w:val="Normal"/>
    <w:next w:val="Normal"/>
    <w:link w:val="TitleChar"/>
    <w:uiPriority w:val="10"/>
    <w:qFormat/>
    <w:rsid w:val="005D77C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D77C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D77C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D7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7C4"/>
    <w:pPr>
      <w:spacing w:before="160"/>
      <w:jc w:val="center"/>
    </w:pPr>
    <w:rPr>
      <w:i/>
      <w:iCs/>
      <w:color w:val="404040" w:themeColor="text1" w:themeTint="BF"/>
    </w:rPr>
  </w:style>
  <w:style w:type="character" w:styleId="QuoteChar" w:customStyle="1">
    <w:name w:val="Quote Char"/>
    <w:basedOn w:val="DefaultParagraphFont"/>
    <w:link w:val="Quote"/>
    <w:uiPriority w:val="29"/>
    <w:rsid w:val="005D77C4"/>
    <w:rPr>
      <w:i/>
      <w:iCs/>
      <w:color w:val="404040" w:themeColor="text1" w:themeTint="BF"/>
    </w:rPr>
  </w:style>
  <w:style w:type="paragraph" w:styleId="ListParagraph">
    <w:name w:val="List Paragraph"/>
    <w:basedOn w:val="Normal"/>
    <w:uiPriority w:val="34"/>
    <w:qFormat/>
    <w:rsid w:val="005D77C4"/>
    <w:pPr>
      <w:ind w:left="720"/>
      <w:contextualSpacing/>
    </w:pPr>
  </w:style>
  <w:style w:type="character" w:styleId="IntenseEmphasis">
    <w:name w:val="Intense Emphasis"/>
    <w:basedOn w:val="DefaultParagraphFont"/>
    <w:uiPriority w:val="21"/>
    <w:qFormat/>
    <w:rsid w:val="005D77C4"/>
    <w:rPr>
      <w:i/>
      <w:iCs/>
      <w:color w:val="0F4761" w:themeColor="accent1" w:themeShade="BF"/>
    </w:rPr>
  </w:style>
  <w:style w:type="paragraph" w:styleId="IntenseQuote">
    <w:name w:val="Intense Quote"/>
    <w:basedOn w:val="Normal"/>
    <w:next w:val="Normal"/>
    <w:link w:val="IntenseQuoteChar"/>
    <w:uiPriority w:val="30"/>
    <w:qFormat/>
    <w:rsid w:val="005D77C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D77C4"/>
    <w:rPr>
      <w:i/>
      <w:iCs/>
      <w:color w:val="0F4761" w:themeColor="accent1" w:themeShade="BF"/>
    </w:rPr>
  </w:style>
  <w:style w:type="character" w:styleId="IntenseReference">
    <w:name w:val="Intense Reference"/>
    <w:basedOn w:val="DefaultParagraphFont"/>
    <w:uiPriority w:val="32"/>
    <w:qFormat/>
    <w:rsid w:val="005D77C4"/>
    <w:rPr>
      <w:b/>
      <w:bCs/>
      <w:smallCaps/>
      <w:color w:val="0F4761" w:themeColor="accent1" w:themeShade="BF"/>
      <w:spacing w:val="5"/>
    </w:rPr>
  </w:style>
  <w:style w:type="character" w:styleId="Hyperlink">
    <w:name w:val="Hyperlink"/>
    <w:basedOn w:val="DefaultParagraphFont"/>
    <w:uiPriority w:val="99"/>
    <w:semiHidden/>
    <w:unhideWhenUsed/>
    <w:rsid w:val="009C4092"/>
    <w:rPr>
      <w:strike w:val="0"/>
      <w:dstrike w:val="0"/>
      <w:color w:val="464FEB"/>
      <w:u w:val="none"/>
      <w:effect w:val="none"/>
    </w:rPr>
  </w:style>
  <w:style w:type="paragraph" w:styleId="NormalWeb">
    <w:name w:val="Normal (Web)"/>
    <w:basedOn w:val="Normal"/>
    <w:uiPriority w:val="99"/>
    <w:semiHidden/>
    <w:unhideWhenUsed/>
    <w:rsid w:val="009C4092"/>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Strong">
    <w:name w:val="Strong"/>
    <w:basedOn w:val="DefaultParagraphFont"/>
    <w:uiPriority w:val="22"/>
    <w:qFormat/>
    <w:rsid w:val="009C4092"/>
    <w:rPr>
      <w:b/>
      <w:bCs/>
    </w:rPr>
  </w:style>
  <w:style w:type="character" w:styleId="Emphasis">
    <w:name w:val="Emphasis"/>
    <w:basedOn w:val="DefaultParagraphFont"/>
    <w:uiPriority w:val="20"/>
    <w:qFormat/>
    <w:rsid w:val="009C4092"/>
    <w:rPr>
      <w:i/>
      <w:iCs/>
    </w:rPr>
  </w:style>
  <w:style w:type="character" w:styleId="11yamx4" w:customStyle="1">
    <w:name w:val="___11yamx4"/>
    <w:basedOn w:val="DefaultParagraphFont"/>
    <w:rsid w:val="009C4092"/>
  </w:style>
  <w:style w:type="character" w:styleId="FollowedHyperlink">
    <w:name w:val="FollowedHyperlink"/>
    <w:basedOn w:val="DefaultParagraphFont"/>
    <w:uiPriority w:val="99"/>
    <w:semiHidden/>
    <w:unhideWhenUsed/>
    <w:rsid w:val="009C40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www.law.cornell.edu/regulations/missouri/20-CSR-4240-2-070" TargetMode="External" Id="rId8" /><Relationship Type="http://schemas.openxmlformats.org/officeDocument/2006/relationships/webSettings" Target="webSettings.xml" Id="rId3" /><Relationship Type="http://schemas.openxmlformats.org/officeDocument/2006/relationships/hyperlink" Target="https://law.justia.com/codes/missouri/2021/title-xxv/chapter-393/section-393-130/"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revisor.mo.gov/main/OneSection.aspx?section=386.570" TargetMode="Externa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hyperlink" Target="https://www.law.cornell.edu/regulations/missouri/20-CSR-4240-2-070" TargetMode="External" Id="rId4" /><Relationship Type="http://schemas.openxmlformats.org/officeDocument/2006/relationships/hyperlink" Target="https://revisor.mo.gov/main/OneSection.aspx?section=386.570" TargetMode="External" Id="rId9" /><Relationship Type="http://schemas.openxmlformats.org/officeDocument/2006/relationships/hyperlink" Target="https://law.justia.com/codes/missouri/2021/title-xxv/chapter-393/section-393-130/" TargetMode="External" Id="R14f4a1752c5f400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628ff4c-e54d-4ba2-ac28-f2abaa5ff84f}" enabled="1" method="Standard" siteId="{0e8157af-5dd6-4e2d-8d4a-d25d7cee01b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Boyle,Tim</dc:creator>
  <keywords/>
  <dc:description/>
  <lastModifiedBy>Boyle,Tim</lastModifiedBy>
  <revision>3</revision>
  <dcterms:created xsi:type="dcterms:W3CDTF">2026-06-22T13:33:00.0000000Z</dcterms:created>
  <dcterms:modified xsi:type="dcterms:W3CDTF">2026-06-23T02:36:32.3825730Z</dcterms:modified>
</coreProperties>
</file>